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4A5E7A"/>
          <w:spacing w:val="60"/>
          <w:sz w:val="17"/>
          <w:szCs w:val="17"/>
        </w:rPr>
        <w:t xml:space="preserve">DUE DILIGENCE CHECKLIST — DOCUMENT 08.1  |  DATA ROOM</w:t>
      </w:r>
    </w:p>
    <w:p>
      <w:pPr>
        <w:spacing w:after="20"/>
      </w:pPr>
      <w:r>
        <w:rPr>
          <w:rFonts w:ascii="Georgia" w:cs="Georgia" w:eastAsia="Georgia" w:hAnsi="Georgia"/>
          <w:b/>
          <w:bCs/>
          <w:color w:val="0D1B2E"/>
          <w:sz w:val="48"/>
          <w:szCs w:val="48"/>
        </w:rPr>
        <w:t xml:space="preserve">Due Diligence Checklist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1B3A6B"/>
          <w:sz w:val="26"/>
          <w:szCs w:val="26"/>
        </w:rPr>
        <w:t xml:space="preserve">Nairn Ni Cu PGE Project — Structured Review for Prospective Acquirers</w:t>
      </w:r>
    </w:p>
    <w:p>
      <w:pPr>
        <w:pBdr>
          <w:bottom w:val="single" w:color="1B3A6B" w:sz="24" w:space="1"/>
        </w:pBdr>
        <w:spacing w:after="240"/>
      </w:pP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Status: Available = covered by current data room  •  Partial = partially addressed  •  Open = requires independent work  •  Recommended = advisable but not blocking.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Priority: Critical = must be completed before transaction  •  High = complete in first 60 days  •  Medium = within 6 months  •  Low = ongoing.</w:t>
      </w:r>
    </w:p>
    <w:p>
      <w:pPr>
        <w:spacing w:after="120"/>
      </w:pPr>
    </w:p>
    <w:p>
      <w:pPr>
        <w:pBdr>
          <w:bottom w:val="single" w:color="1B3A6B" w:sz="10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1B3A6B"/>
          <w:spacing w:val="30"/>
          <w:sz w:val="22"/>
          <w:szCs w:val="22"/>
        </w:rPr>
        <w:t xml:space="preserve">1.  LAND TENURE &amp; MINING CLAIMS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Current registered holder of all 148 claims (Ontario MNDM MLAS database)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Annual assessment work / cash-in-lieu filings confirmed current for all claims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No claims in default, lapsed, or subject to dispute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Claim boundary coordinates and polygons (GIS / NTS grid cells)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Encumbrances: royalties, back-in rights, options, caveats, prior owner agreements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Surface rights status (Crown land vs. patented surface)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Adjacent and overlapping claim status (no staking conflicts)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Quiet title search at Ontario Land Registry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</w:tbl>
    <w:p>
      <w:pPr>
        <w:pBdr>
          <w:bottom w:val="single" w:color="1B3A6B" w:sz="10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1B3A6B"/>
          <w:spacing w:val="30"/>
          <w:sz w:val="22"/>
          <w:szCs w:val="22"/>
        </w:rPr>
        <w:t xml:space="preserve">2.  GEOLOGY &amp; MINERALISATION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Geological summary compiled from all historic and recent reports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Exploration history: all historic and recent work documented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Assay results compiled and plotted on a GIS base map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Partial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Independent QP site visit and geological assessment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Twin sampling of all historic high-grade sample locations (QA/QC)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Review of all GeologyOntario assessment files (IDs listed in document)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Interpretation of Titan-24 DC-IP anomaly targets with QP sign-off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Partial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Resolution of unexplained VTEM anomaly (ground EM follow-up)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Petrology / mineralogy of sulphide samples (ore microscopy)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</w:tbl>
    <w:p>
      <w:pPr>
        <w:pBdr>
          <w:bottom w:val="single" w:color="1B3A6B" w:sz="10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1B3A6B"/>
          <w:spacing w:val="30"/>
          <w:sz w:val="22"/>
          <w:szCs w:val="22"/>
        </w:rPr>
        <w:t xml:space="preserve">3.  EXPLORATION PROGRAMS &amp; DATA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Full digital data package: assay certs, sample logs, survey data, field notes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All original laboratory certificates for historic and 2023-24 assay samples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Geophysical survey data files (IP, VLF, magnetics, VTEM): raw + processed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Partial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Drill core from 2024 program (if available): logging, photos, sampling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All permits and work records from Vale Canada 2022 program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2023-24 Vision Exploration assay results (pending, as of filing)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Certified QA/QC data: blanks, standards, duplicates for all recent sampling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</w:tbl>
    <w:p>
      <w:pPr>
        <w:pBdr>
          <w:bottom w:val="single" w:color="1B3A6B" w:sz="10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1B3A6B"/>
          <w:spacing w:val="30"/>
          <w:sz w:val="22"/>
          <w:szCs w:val="22"/>
        </w:rPr>
        <w:t xml:space="preserve">4.  PERMITTING &amp; REGULATORY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Current status of any active exploration permits or NOWs on the property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Outstanding closure obligations or reclamation bonds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Confirm no outstanding Ministry orders or compliance issues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Ontario Mining Act compliance (assessment work filings)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Phase 1 NOW timeline and permit requirements defined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List of affected First Nations identified for Robinson-Huron Treaty area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History of previous Indigenous engagement (if any) and current status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MECP spills register: any historic contamination on or near the property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</w:tbl>
    <w:p>
      <w:pPr>
        <w:pBdr>
          <w:bottom w:val="single" w:color="1B3A6B" w:sz="10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1B3A6B"/>
          <w:spacing w:val="30"/>
          <w:sz w:val="22"/>
          <w:szCs w:val="22"/>
        </w:rPr>
        <w:t xml:space="preserve">5.  ENVIRONMENTAL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Environmental baseline framework compiled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Field-based ecological and wetland screening of Phase 1 drill sites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Surface water quality sampling (pre-drilling baseline)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Presence/absence survey for Species at Risk (breeding season)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ARD/ML preliminary assessment on historic core / outcrop material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Stage 1 Cultural Heritage Assessment (Ontario Heritage Act)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Confirm no active mining waste (tailings, waste rock) on property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Partial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Berry Shaft water management: assess historical workings water quality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</w:tbl>
    <w:p>
      <w:pPr>
        <w:pBdr>
          <w:bottom w:val="single" w:color="1B3A6B" w:sz="10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1B3A6B"/>
          <w:spacing w:val="30"/>
          <w:sz w:val="22"/>
          <w:szCs w:val="22"/>
        </w:rPr>
        <w:t xml:space="preserve">6.  INFRASTRUCTURE &amp; LOGISTICS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Road access assessment: condition of all access roads to drill sites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Partial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Distance and access to Sudbury area drilling contractors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Nearest assay laboratory (typically Activation Labs, Sudbury/Ancaster)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Camp or accommodation plan for Phase 1 crew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Equipment mobilisation plan and cost estimate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Helicopter access if ground access restricted in spring break-up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</w:tbl>
    <w:p>
      <w:pPr>
        <w:pBdr>
          <w:bottom w:val="single" w:color="1B3A6B" w:sz="10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1B3A6B"/>
          <w:spacing w:val="30"/>
          <w:sz w:val="22"/>
          <w:szCs w:val="22"/>
        </w:rPr>
        <w:t xml:space="preserve">7.  FINANCIAL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Indicative financial analysis and scenario modelling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Comparable transaction analysis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Phase 1 program budget detailed and costed by a QP or experienced operator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Flow-through share eligibility confirmed with tax counsel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OJEP / CMIF / NOHFC grant eligibility assessed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214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Deal structure agreed (option terms, work commitments, payments)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Any outstanding financial obligations of the vendor on the property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Tax and corporate structure of the vendor entity reviewed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</w:tbl>
    <w:p>
      <w:pPr>
        <w:pBdr>
          <w:bottom w:val="single" w:color="1B3A6B" w:sz="10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1B3A6B"/>
          <w:spacing w:val="30"/>
          <w:sz w:val="22"/>
          <w:szCs w:val="22"/>
        </w:rPr>
        <w:t xml:space="preserve">8.  LEGAL &amp; CORPORATE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Vendor entity corporate search and good standing confirmation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All prior agreements, LOIs, MOUs on the property reviewed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Representations and warranties from vendor reviewed by legal counsel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No litigation, arbitration, or disputes involving the property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Transaction structure reviewed: asset purchase vs. share purchase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Escrow and closing conditions defined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Any finder's fee, commission, or third-party entitlement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</w:tbl>
    <w:p>
      <w:pPr>
        <w:pBdr>
          <w:bottom w:val="single" w:color="1B3A6B" w:sz="10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1B3A6B"/>
          <w:spacing w:val="30"/>
          <w:sz w:val="22"/>
          <w:szCs w:val="22"/>
        </w:rPr>
        <w:t xml:space="preserve">9.  TECHNICAL REPORTS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040"/>
        <w:gridCol w:w="2040"/>
        <w:gridCol w:w="1800"/>
      </w:tblGrid>
      <w:tr>
        <w:trPr>
          <w:tblHeader/>
        </w:trP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/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Item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20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Vendor data sheet and executive summary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Project fact sheet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Geological summary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Exploration history (full)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Project presentation (September 2025)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8"/>
                <w:szCs w:val="18"/>
              </w:rPr>
              <w:t xml:space="preserve">Available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5E7A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Independent NI 43-101 technical report by a Qualified Person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QP site visit report (pre-transaction)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48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A5E7A"/>
                <w:sz w:val="24"/>
                <w:szCs w:val="24"/>
              </w:rPr>
              <w:t xml:space="preserve">☐</w:t>
            </w:r>
          </w:p>
        </w:tc>
        <w:tc>
          <w:tcPr>
            <w:tcW w:type="dxa" w:w="5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2A2A2A"/>
                <w:sz w:val="20"/>
                <w:szCs w:val="20"/>
              </w:rPr>
              <w:t xml:space="preserve">Phase 1 drill program design by a QP</w:t>
            </w:r>
          </w:p>
        </w:tc>
        <w:tc>
          <w:tcPr>
            <w:tcW w:type="dxa" w:w="20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2A1A"/>
                <w:sz w:val="18"/>
                <w:szCs w:val="18"/>
              </w:rPr>
              <w:t xml:space="preserve">Open</w:t>
            </w:r>
          </w:p>
        </w:tc>
        <w:tc>
          <w:tcPr>
            <w:tcW w:type="dxa" w:w="18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3300"/>
                <w:sz w:val="18"/>
                <w:szCs w:val="18"/>
              </w:rPr>
              <w:t xml:space="preserve">High</w:t>
            </w:r>
          </w:p>
        </w:tc>
      </w:tr>
    </w:tbl>
    <w:p>
      <w:pPr>
        <w:spacing w:after="24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Suggested Due Diligence Timeline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Weeks 1–2:  NDA signed, full data room access granted. Begin legal and corporate review (Sections 7, 8). MNDM MLAS claim status check.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Weeks 2–4:  QP site visit and geological review (Section 2). Obtain all digital data (Section 3). Initiate Indigenous consultation history review (Section 4).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Weeks 4–6:  Legal due diligence (Section 8). Environmental site screen (Section 5). Phase 1 budget costed by QP.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Weeks 6–10:  QP site visit report issued. LOI or term sheet agreed. Flow-through structure and grant eligibility confirmed.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Weeks 10–16:  Transaction documents drafted and negotiated. First Nations engagement commenced in parallel. Closing conditions satisfied.</w:t>
      </w:r>
    </w:p>
    <w:p>
      <w:pPr>
        <w:spacing w:after="180"/>
      </w:pPr>
    </w:p>
    <w:p>
      <w:pPr>
        <w:pBdr>
          <w:top w:val="single" w:color="1B3A6B" w:sz="8" w:space="6"/>
        </w:pBdr>
        <w:spacing w:after="80" w:before="240"/>
      </w:pPr>
      <w:r>
        <w:rPr>
          <w:rFonts w:ascii="Calibri" w:cs="Calibri" w:eastAsia="Calibri" w:hAnsi="Calibri"/>
          <w:b/>
          <w:bCs/>
          <w:color w:val="4A5E7A"/>
          <w:spacing w:val="60"/>
          <w:sz w:val="18"/>
          <w:szCs w:val="18"/>
        </w:rPr>
        <w:t xml:space="preserve">NOTE</w:t>
      </w:r>
    </w:p>
    <w:p>
      <w:pPr>
        <w:spacing w:after="80" w:line="280"/>
      </w:pPr>
      <w:r>
        <w:rPr>
          <w:rFonts w:ascii="Calibri" w:cs="Calibri" w:eastAsia="Calibri" w:hAnsi="Calibri"/>
          <w:i/>
          <w:iCs/>
          <w:color w:val="4A5E7A"/>
          <w:sz w:val="18"/>
          <w:szCs w:val="18"/>
        </w:rPr>
        <w:t xml:space="preserve">This checklist is a general due diligence guide and does not constitute legal, financial, or technical advice. Prospective parties must engage independent qualified legal counsel, a NI 43-101 Qualified Person, and appropriate technical and environmental specialists before concluding any transaction.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D1B2E"/>
          <w:sz w:val="20"/>
          <w:szCs w:val="20"/>
        </w:rPr>
        <w:t xml:space="preserve">Contact: </w:t>
      </w:r>
      <w:r>
        <w:rPr>
          <w:rFonts w:ascii="Calibri" w:cs="Calibri" w:eastAsia="Calibri" w:hAnsi="Calibri"/>
          <w:color w:val="1B3A6B"/>
          <w:sz w:val="20"/>
          <w:szCs w:val="20"/>
        </w:rPr>
        <w:t xml:space="preserve">Hugo  |  hugo@kpcapital.com  |  778-985-8685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4A5E7A"/>
        <w:sz w:val="16"/>
        <w:szCs w:val="16"/>
      </w:rPr>
      <w:t xml:space="preserve">Due Diligence Checklist  •  Page </w:t>
    </w:r>
    <w:r>
      <w:rPr>
        <w:rFonts w:ascii="Calibri" w:cs="Calibri" w:eastAsia="Calibri" w:hAnsi="Calibri"/>
        <w:color w:val="4A5E7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4A5E7A"/>
        <w:spacing w:val="40"/>
        <w:sz w:val="16"/>
        <w:szCs w:val="16"/>
      </w:rPr>
      <w:t xml:space="preserve">NAIRN Ni Cu PGE PROJECT  •  DATA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Nairn — Due Diligence Checklist</dc:title>
  <dc:creator>Nairn Data Room</dc:creator>
  <cp:lastModifiedBy>Un-named</cp:lastModifiedBy>
  <cp:revision>1</cp:revision>
  <dcterms:created xsi:type="dcterms:W3CDTF">2026-05-15T14:30:57.015Z</dcterms:created>
  <dcterms:modified xsi:type="dcterms:W3CDTF">2026-05-15T14:30:57.015Z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