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4A5E7A"/>
          <w:spacing w:val="60"/>
          <w:sz w:val="17"/>
          <w:szCs w:val="17"/>
        </w:rPr>
        <w:t xml:space="preserve">ENVIRONMENTAL BASELINE — DOCUMENT 06.1  |  DATA ROOM</w:t>
      </w:r>
    </w:p>
    <w:p>
      <w:pPr>
        <w:spacing w:after="20"/>
      </w:pPr>
      <w:r>
        <w:rPr>
          <w:rFonts w:ascii="Georgia" w:cs="Georgia" w:eastAsia="Georgia" w:hAnsi="Georgia"/>
          <w:b/>
          <w:bCs/>
          <w:color w:val="0D1B2E"/>
          <w:sz w:val="48"/>
          <w:szCs w:val="48"/>
        </w:rPr>
        <w:t xml:space="preserve">Environmental Baseline</w:t>
      </w:r>
    </w:p>
    <w:p>
      <w:pPr>
        <w:spacing w:after="40"/>
      </w:pPr>
      <w:r>
        <w:rPr>
          <w:rFonts w:ascii="Georgia" w:cs="Georgia" w:eastAsia="Georgia" w:hAnsi="Georgia"/>
          <w:i/>
          <w:iCs/>
          <w:color w:val="1B3A6B"/>
          <w:sz w:val="26"/>
          <w:szCs w:val="26"/>
        </w:rPr>
        <w:t xml:space="preserve">Nairn Ni Cu PGE Project — Regulatory Framework and Baseline Requirements</w:t>
      </w:r>
    </w:p>
    <w:p>
      <w:pPr>
        <w:pBdr>
          <w:bottom w:val="single" w:color="1B3A6B" w:sz="24" w:space="1"/>
        </w:pBdr>
        <w:spacing w:after="240"/>
      </w:pPr>
    </w:p>
    <w:p>
      <w:pPr>
        <w:spacing w:after="140" w:line="320"/>
        <w:jc w:val="both"/>
      </w:pPr>
      <w:r>
        <w:rPr>
          <w:rFonts w:ascii="Calibri" w:cs="Calibri" w:eastAsia="Calibri" w:hAnsi="Calibri"/>
          <w:color w:val="2A2A2A"/>
          <w:sz w:val="22"/>
          <w:szCs w:val="22"/>
        </w:rPr>
        <w:t xml:space="preserve">This document outlines the environmental regulatory framework applicable to the Nairn property, the baseline studies required to support permitting for a Phase 1 exploration program, and the key environmental considerations a prospective operator should plan for. Nairn is in an early-exploration stage; no tailings, acid-rock drainage, or major infrastructure currently exist on the property.</w:t>
      </w:r>
    </w:p>
    <w:p>
      <w:pPr>
        <w:pStyle w:val="Heading1"/>
        <w:spacing w:after="180" w:before="360"/>
      </w:pPr>
      <w:r>
        <w:rPr>
          <w:rFonts w:ascii="Georgia" w:cs="Georgia" w:eastAsia="Georgia" w:hAnsi="Georgia"/>
          <w:b/>
          <w:bCs/>
          <w:color w:val="0D1B2E"/>
          <w:sz w:val="32"/>
          <w:szCs w:val="32"/>
        </w:rPr>
        <w:t xml:space="preserve">Regulatory Jurisdiction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Province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Ontario</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Primary Mineral Regulator</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Ministry of Northern Development and Mines (MNDM)</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Environment Regulator</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Ministry of Environment, Conservation &amp; Parks (MECP)</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Federal Environment</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Environment and Climate Change Canada (ECCC); DFO for fish habitat</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Forestry / Surface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Ministry of Natural Resources and Forestry (MNRF)</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Heritage / Archaeology</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Ministry of Tourism, Culture and Sport (MTCS)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Indigenous Consultation</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Crown (province and federal); Robinson-Huron Treaty territory</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Key Legislation</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Ontario Mining Act; Environmental Assessment Act; Endangered Species Act; Species at Risk Act (SARA); Fisheries Act; Heritage Act</w:t>
            </w:r>
          </w:p>
        </w:tc>
      </w:tr>
    </w:tbl>
    <w:p>
      <w:pPr>
        <w:spacing w:after="120"/>
      </w:pPr>
    </w:p>
    <w:p>
      <w:pPr>
        <w:pStyle w:val="Heading1"/>
        <w:spacing w:after="180" w:before="360"/>
      </w:pPr>
      <w:r>
        <w:rPr>
          <w:rFonts w:ascii="Georgia" w:cs="Georgia" w:eastAsia="Georgia" w:hAnsi="Georgia"/>
          <w:b/>
          <w:bCs/>
          <w:color w:val="0D1B2E"/>
          <w:sz w:val="32"/>
          <w:szCs w:val="32"/>
        </w:rPr>
        <w:t xml:space="preserve">Indigenous Rights and Consultation</w:t>
      </w:r>
    </w:p>
    <w:p>
      <w:pPr>
        <w:spacing w:after="140" w:line="320"/>
        <w:jc w:val="both"/>
      </w:pPr>
      <w:r>
        <w:rPr>
          <w:rFonts w:ascii="Calibri" w:cs="Calibri" w:eastAsia="Calibri" w:hAnsi="Calibri"/>
          <w:color w:val="2A2A2A"/>
          <w:sz w:val="22"/>
          <w:szCs w:val="22"/>
        </w:rPr>
        <w:t xml:space="preserve">The Nairn property sits within the traditional territory covered by the Robinson-Huron Treaty of 1850. The Crown (province and federal government) has a constitutional duty to consult with First Nations whose rights may be affected by exploration activities. For Phase 1 drilling and geophysics, this typically involves:</w:t>
      </w:r>
    </w:p>
    <w:p>
      <w:pPr>
        <w:pStyle w:val="ListParagraph"/>
        <w:numPr>
          <w:ilvl w:val="0"/>
          <w:numId w:val="2"/>
        </w:numPr>
        <w:spacing w:after="100" w:line="300"/>
      </w:pPr>
      <w:r>
        <w:rPr>
          <w:rFonts w:ascii="Calibri" w:cs="Calibri" w:eastAsia="Calibri" w:hAnsi="Calibri"/>
          <w:color w:val="2A2A2A"/>
          <w:sz w:val="22"/>
          <w:szCs w:val="22"/>
        </w:rPr>
        <w:t xml:space="preserve">Early notification and information sharing with affected First Nations (Anishinabek Nation, Mississauga First Nation, and other Robinson-Huron signatories as applicable).</w:t>
      </w:r>
    </w:p>
    <w:p>
      <w:pPr>
        <w:pStyle w:val="ListParagraph"/>
        <w:numPr>
          <w:ilvl w:val="0"/>
          <w:numId w:val="2"/>
        </w:numPr>
        <w:spacing w:after="100" w:line="300"/>
      </w:pPr>
      <w:r>
        <w:rPr>
          <w:rFonts w:ascii="Calibri" w:cs="Calibri" w:eastAsia="Calibri" w:hAnsi="Calibri"/>
          <w:color w:val="2A2A2A"/>
          <w:sz w:val="22"/>
          <w:szCs w:val="22"/>
        </w:rPr>
        <w:t xml:space="preserve">Community engagement meetings to understand land use interests and concerns.</w:t>
      </w:r>
    </w:p>
    <w:p>
      <w:pPr>
        <w:pStyle w:val="ListParagraph"/>
        <w:numPr>
          <w:ilvl w:val="0"/>
          <w:numId w:val="2"/>
        </w:numPr>
        <w:spacing w:after="100" w:line="300"/>
      </w:pPr>
      <w:r>
        <w:rPr>
          <w:rFonts w:ascii="Calibri" w:cs="Calibri" w:eastAsia="Calibri" w:hAnsi="Calibri"/>
          <w:color w:val="2A2A2A"/>
          <w:sz w:val="22"/>
          <w:szCs w:val="22"/>
        </w:rPr>
        <w:t xml:space="preserve">Negotiation of an Exploration Agreement or Impact and Benefit Agreement (IBA) framework for more advanced work.</w:t>
      </w:r>
    </w:p>
    <w:p>
      <w:pPr>
        <w:pStyle w:val="ListParagraph"/>
        <w:numPr>
          <w:ilvl w:val="0"/>
          <w:numId w:val="2"/>
        </w:numPr>
        <w:spacing w:after="100" w:line="300"/>
      </w:pPr>
      <w:r>
        <w:rPr>
          <w:rFonts w:ascii="Calibri" w:cs="Calibri" w:eastAsia="Calibri" w:hAnsi="Calibri"/>
          <w:color w:val="2A2A2A"/>
          <w:sz w:val="22"/>
          <w:szCs w:val="22"/>
        </w:rPr>
        <w:t xml:space="preserve">Accommodation of traditional land use wherever possible (drill pad siting, access route selection, seasonal restrictions).</w:t>
      </w:r>
    </w:p>
    <w:p>
      <w:pPr>
        <w:spacing w:after="140" w:line="320"/>
        <w:jc w:val="both"/>
      </w:pPr>
      <w:r>
        <w:rPr>
          <w:rFonts w:ascii="Calibri" w:cs="Calibri" w:eastAsia="Calibri" w:hAnsi="Calibri"/>
          <w:color w:val="2A2A2A"/>
          <w:sz w:val="22"/>
          <w:szCs w:val="22"/>
        </w:rPr>
        <w:t xml:space="preserve">Ontario's mining act requires proponents to submit an Aboriginal Consultation record as part of the Notice of Work application. Engaging qualified Indigenous relations consultants early in the program is strongly recommended to avoid permitting delays.</w:t>
      </w:r>
    </w:p>
    <w:p>
      <w:pPr>
        <w:pStyle w:val="Heading1"/>
        <w:spacing w:after="180" w:before="360"/>
      </w:pPr>
      <w:r>
        <w:rPr>
          <w:rFonts w:ascii="Georgia" w:cs="Georgia" w:eastAsia="Georgia" w:hAnsi="Georgia"/>
          <w:b/>
          <w:bCs/>
          <w:color w:val="0D1B2E"/>
          <w:sz w:val="32"/>
          <w:szCs w:val="32"/>
        </w:rPr>
        <w:t xml:space="preserve">Biophysical Setting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Ecoregion</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Lake Huron Ecoregion / Ontario Shield (Great Lakes-St. Lawrence Forest)</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Terrain</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Precambrian Shield; rocky outcrops, glacial till overburden, wetland depressions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Vegetation</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Mixed boreal-tolerant hardwood forest (birch, aspen, jack pine, spruce, balsam fir)</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Watercourses</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Numerous small creeks, beaver ponds, and wetlands within and adjacent to claims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Key Wildlife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Moose, black bear, woodland caribou (potential), breeding passerines, raptors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Sensitive Species (potential)</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Canada Warbler, Eastern Wood-Pewee, Little Brown Myotis (bat); screening required</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Soil Type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Thin Precambrian Shield soils over bedrock; organic wetland soils in low areas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Overburden Depth</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Highly variable; typically 0–10 m on ridge tops, up to 20+ m in valley fills</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Nearest Sensitive Receptor</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Sudbury urban area ~25–50 km NE; no residential properties immediately adjacent</w:t>
            </w:r>
          </w:p>
        </w:tc>
      </w:tr>
    </w:tbl>
    <w:p>
      <w:pPr>
        <w:pStyle w:val="Heading1"/>
        <w:spacing w:after="180" w:before="360"/>
      </w:pPr>
      <w:r>
        <w:rPr>
          <w:rFonts w:ascii="Georgia" w:cs="Georgia" w:eastAsia="Georgia" w:hAnsi="Georgia"/>
          <w:b/>
          <w:bCs/>
          <w:color w:val="0D1B2E"/>
          <w:sz w:val="32"/>
          <w:szCs w:val="32"/>
        </w:rPr>
        <w:t xml:space="preserve">Acid Rock Drainage (ARD) and Metal Leaching Assessment</w:t>
      </w:r>
    </w:p>
    <w:p>
      <w:pPr>
        <w:spacing w:after="140" w:line="320"/>
        <w:jc w:val="both"/>
      </w:pPr>
      <w:r>
        <w:rPr>
          <w:rFonts w:ascii="Calibri" w:cs="Calibri" w:eastAsia="Calibri" w:hAnsi="Calibri"/>
          <w:color w:val="2A2A2A"/>
          <w:sz w:val="22"/>
          <w:szCs w:val="22"/>
        </w:rPr>
        <w:t xml:space="preserve">The sulphidic nature of the Nairn mineralisation (pyrrhotite, chalcopyrite, pentlandite) means that ARD is a primary environmental concern for any future development. For Phase 1 exploration drilling, the requirement is a preliminary ARD/ML characterisation:</w:t>
      </w:r>
    </w:p>
    <w:p>
      <w:pPr>
        <w:pStyle w:val="ListParagraph"/>
        <w:numPr>
          <w:ilvl w:val="0"/>
          <w:numId w:val="2"/>
        </w:numPr>
        <w:spacing w:after="100" w:line="300"/>
      </w:pPr>
      <w:r>
        <w:rPr>
          <w:rFonts w:ascii="Calibri" w:cs="Calibri" w:eastAsia="Calibri" w:hAnsi="Calibri"/>
          <w:color w:val="2A2A2A"/>
          <w:sz w:val="22"/>
          <w:szCs w:val="22"/>
        </w:rPr>
        <w:t xml:space="preserve">Acid-base accounting (ABA) on representative drill core samples to determine Net Neutralisation Potential (NNP) and Neutralisation Potential Ratio (NPR).</w:t>
      </w:r>
    </w:p>
    <w:p>
      <w:pPr>
        <w:pStyle w:val="ListParagraph"/>
        <w:numPr>
          <w:ilvl w:val="0"/>
          <w:numId w:val="2"/>
        </w:numPr>
        <w:spacing w:after="100" w:line="300"/>
      </w:pPr>
      <w:r>
        <w:rPr>
          <w:rFonts w:ascii="Calibri" w:cs="Calibri" w:eastAsia="Calibri" w:hAnsi="Calibri"/>
          <w:color w:val="2A2A2A"/>
          <w:sz w:val="22"/>
          <w:szCs w:val="22"/>
        </w:rPr>
        <w:t xml:space="preserve">Static tests (MEND 1.16.1b) to classify waste rock and low-grade material into PAG (potentially acid generating) and non-PAG categories.</w:t>
      </w:r>
    </w:p>
    <w:p>
      <w:pPr>
        <w:pStyle w:val="ListParagraph"/>
        <w:numPr>
          <w:ilvl w:val="0"/>
          <w:numId w:val="2"/>
        </w:numPr>
        <w:spacing w:after="100" w:line="300"/>
      </w:pPr>
      <w:r>
        <w:rPr>
          <w:rFonts w:ascii="Calibri" w:cs="Calibri" w:eastAsia="Calibri" w:hAnsi="Calibri"/>
          <w:color w:val="2A2A2A"/>
          <w:sz w:val="22"/>
          <w:szCs w:val="22"/>
        </w:rPr>
        <w:t xml:space="preserve">Kinetic testing (humidity cells) only required for advanced feasibility stages.</w:t>
      </w:r>
    </w:p>
    <w:p>
      <w:pPr>
        <w:spacing w:after="140" w:line="320"/>
        <w:jc w:val="both"/>
      </w:pPr>
      <w:r>
        <w:rPr>
          <w:rFonts w:ascii="Calibri" w:cs="Calibri" w:eastAsia="Calibri" w:hAnsi="Calibri"/>
          <w:color w:val="2A2A2A"/>
          <w:sz w:val="22"/>
          <w:szCs w:val="22"/>
        </w:rPr>
        <w:t xml:space="preserve">Pyrrhotite-dominant sulphide systems (typical of Sudbury contact/offset dyke deposits) are generally strongly PAG. Waste rock from any exploration trenching should be segregated, managed appropriately, and included in the Phase 1 closure plan filed with MNDM. The proximity to two Sudbury-area smelters (which are experienced with Ni-Cu sulphide concentrates) simplifies the future processing and tailings management picture relative to remote deposits.</w:t>
      </w:r>
    </w:p>
    <w:p>
      <w:pPr>
        <w:pStyle w:val="Heading1"/>
        <w:spacing w:after="180" w:before="360"/>
      </w:pPr>
      <w:r>
        <w:rPr>
          <w:rFonts w:ascii="Georgia" w:cs="Georgia" w:eastAsia="Georgia" w:hAnsi="Georgia"/>
          <w:b/>
          <w:bCs/>
          <w:color w:val="0D1B2E"/>
          <w:sz w:val="32"/>
          <w:szCs w:val="32"/>
        </w:rPr>
        <w:t xml:space="preserve">Permitting Requirements for Phase 1</w:t>
      </w:r>
    </w:p>
    <w:p>
      <w:pPr>
        <w:spacing w:after="140" w:line="320"/>
        <w:jc w:val="both"/>
      </w:pPr>
      <w:r>
        <w:rPr>
          <w:rFonts w:ascii="Calibri" w:cs="Calibri" w:eastAsia="Calibri" w:hAnsi="Calibri"/>
          <w:color w:val="2A2A2A"/>
          <w:sz w:val="22"/>
          <w:szCs w:val="22"/>
        </w:rPr>
        <w:t xml:space="preserve">The table below summarises the key permits and approvals required for a Phase 1 drilling and geophysics program at Nairn. The Ontario permitting environment for exploration is generally efficient relative to other Canadian jurisdictions: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1960"/>
        <w:gridCol w:w="2000"/>
      </w:tblGrid>
      <w:tr>
        <w:trPr>
          <w:tblHeader/>
        </w:trPr>
        <w:tc>
          <w:tcPr>
            <w:tcW w:type="dxa" w:w="26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Permit / Approval</w:t>
            </w:r>
          </w:p>
        </w:tc>
        <w:tc>
          <w:tcPr>
            <w:tcW w:type="dxa" w:w="28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Agency</w:t>
            </w:r>
          </w:p>
        </w:tc>
        <w:tc>
          <w:tcPr>
            <w:tcW w:type="dxa" w:w="196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Trigger</w:t>
            </w:r>
          </w:p>
        </w:tc>
        <w:tc>
          <w:tcPr>
            <w:tcW w:type="dxa" w:w="20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Timeline</w:t>
            </w:r>
          </w:p>
        </w:tc>
      </w:tr>
      <w:tr>
        <w:tc>
          <w:tcPr>
            <w:tcW w:type="dxa" w:w="2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Notice of Work (NOW)</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9"/>
                <w:szCs w:val="19"/>
              </w:rPr>
              <w:t xml:space="preserve">MNDM Ontario</w:t>
            </w:r>
          </w:p>
        </w:tc>
        <w:tc>
          <w:tcPr>
            <w:tcW w:type="dxa" w:w="1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Any drilling or exploration disturbance</w:t>
            </w:r>
          </w:p>
        </w:tc>
        <w:tc>
          <w:tcPr>
            <w:tcW w:type="dxa" w:w="20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2–6 weeks</w:t>
            </w:r>
          </w:p>
        </w:tc>
      </w:tr>
      <w:tr>
        <w:tc>
          <w:tcPr>
            <w:tcW w:type="dxa" w:w="2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Work Permit (Forest)</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9"/>
                <w:szCs w:val="19"/>
              </w:rPr>
              <w:t xml:space="preserve">MNRF Ontario</w:t>
            </w:r>
          </w:p>
        </w:tc>
        <w:tc>
          <w:tcPr>
            <w:tcW w:type="dxa" w:w="1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Significant land disturbance in Crown forests</w:t>
            </w:r>
          </w:p>
        </w:tc>
        <w:tc>
          <w:tcPr>
            <w:tcW w:type="dxa" w:w="20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4–8 weeks</w:t>
            </w:r>
          </w:p>
        </w:tc>
      </w:tr>
      <w:tr>
        <w:tc>
          <w:tcPr>
            <w:tcW w:type="dxa" w:w="2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Aggregate Resources Approval</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9"/>
                <w:szCs w:val="19"/>
              </w:rPr>
              <w:t xml:space="preserve">MNDM</w:t>
            </w:r>
          </w:p>
        </w:tc>
        <w:tc>
          <w:tcPr>
            <w:tcW w:type="dxa" w:w="1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Surface stripping &gt; defined thresholds</w:t>
            </w:r>
          </w:p>
        </w:tc>
        <w:tc>
          <w:tcPr>
            <w:tcW w:type="dxa" w:w="20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Concurrent with NOW</w:t>
            </w:r>
          </w:p>
        </w:tc>
      </w:tr>
      <w:tr>
        <w:tc>
          <w:tcPr>
            <w:tcW w:type="dxa" w:w="2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Fish Habitat Authorization</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9"/>
                <w:szCs w:val="19"/>
              </w:rPr>
              <w:t xml:space="preserve">Fisheries &amp; Oceans Canada (DFO)</w:t>
            </w:r>
          </w:p>
        </w:tc>
        <w:tc>
          <w:tcPr>
            <w:tcW w:type="dxa" w:w="1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Any work near water bodies / wetlands</w:t>
            </w:r>
          </w:p>
        </w:tc>
        <w:tc>
          <w:tcPr>
            <w:tcW w:type="dxa" w:w="20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8–16 weeks</w:t>
            </w:r>
          </w:p>
        </w:tc>
      </w:tr>
      <w:tr>
        <w:tc>
          <w:tcPr>
            <w:tcW w:type="dxa" w:w="2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Species at Risk (SAR) Permit</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9"/>
                <w:szCs w:val="19"/>
              </w:rPr>
              <w:t xml:space="preserve">MECP Ontario / DFO</w:t>
            </w:r>
          </w:p>
        </w:tc>
        <w:tc>
          <w:tcPr>
            <w:tcW w:type="dxa" w:w="1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Activities affecting SAR or habitat</w:t>
            </w:r>
          </w:p>
        </w:tc>
        <w:tc>
          <w:tcPr>
            <w:tcW w:type="dxa" w:w="20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Variable (4–26 wks)</w:t>
            </w:r>
          </w:p>
        </w:tc>
      </w:tr>
      <w:tr>
        <w:tc>
          <w:tcPr>
            <w:tcW w:type="dxa" w:w="2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Endangered Species Act Permit</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9"/>
                <w:szCs w:val="19"/>
              </w:rPr>
              <w:t xml:space="preserve">MECP Ontario</w:t>
            </w:r>
          </w:p>
        </w:tc>
        <w:tc>
          <w:tcPr>
            <w:tcW w:type="dxa" w:w="1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Activities affecting listed species</w:t>
            </w:r>
          </w:p>
        </w:tc>
        <w:tc>
          <w:tcPr>
            <w:tcW w:type="dxa" w:w="20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Variable</w:t>
            </w:r>
          </w:p>
        </w:tc>
      </w:tr>
      <w:tr>
        <w:tc>
          <w:tcPr>
            <w:tcW w:type="dxa" w:w="2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Indigenous Consultation</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9"/>
                <w:szCs w:val="19"/>
              </w:rPr>
              <w:t xml:space="preserve">Crown (province + fed.)</w:t>
            </w:r>
          </w:p>
        </w:tc>
        <w:tc>
          <w:tcPr>
            <w:tcW w:type="dxa" w:w="1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Any exploration on Crown land</w:t>
            </w:r>
          </w:p>
        </w:tc>
        <w:tc>
          <w:tcPr>
            <w:tcW w:type="dxa" w:w="20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Ongoing / parallel</w:t>
            </w:r>
          </w:p>
        </w:tc>
      </w:tr>
      <w:tr>
        <w:tc>
          <w:tcPr>
            <w:tcW w:type="dxa" w:w="2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Explosives Permit</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9"/>
                <w:szCs w:val="19"/>
              </w:rPr>
              <w:t xml:space="preserve">Natural Resources Canada</w:t>
            </w:r>
          </w:p>
        </w:tc>
        <w:tc>
          <w:tcPr>
            <w:tcW w:type="dxa" w:w="1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If blasting required for drilling access</w:t>
            </w:r>
          </w:p>
        </w:tc>
        <w:tc>
          <w:tcPr>
            <w:tcW w:type="dxa" w:w="20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2–4 weeks</w:t>
            </w:r>
          </w:p>
        </w:tc>
      </w:tr>
      <w:tr>
        <w:tc>
          <w:tcPr>
            <w:tcW w:type="dxa" w:w="2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Surface Rights Agreement</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9"/>
                <w:szCs w:val="19"/>
              </w:rPr>
              <w:t xml:space="preserve">MNDM / surface owner</w:t>
            </w:r>
          </w:p>
        </w:tc>
        <w:tc>
          <w:tcPr>
            <w:tcW w:type="dxa" w:w="1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If surface rights separately held</w:t>
            </w:r>
          </w:p>
        </w:tc>
        <w:tc>
          <w:tcPr>
            <w:tcW w:type="dxa" w:w="20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Negotiated</w:t>
            </w:r>
          </w:p>
        </w:tc>
      </w:tr>
      <w:tr>
        <w:tc>
          <w:tcPr>
            <w:tcW w:type="dxa" w:w="2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Closure Plan (exploration)</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9"/>
                <w:szCs w:val="19"/>
              </w:rPr>
              <w:t xml:space="preserve">MNDM Ontario</w:t>
            </w:r>
          </w:p>
        </w:tc>
        <w:tc>
          <w:tcPr>
            <w:tcW w:type="dxa" w:w="1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Exploration at prescribed threshold</w:t>
            </w:r>
          </w:p>
        </w:tc>
        <w:tc>
          <w:tcPr>
            <w:tcW w:type="dxa" w:w="20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center"/>
            </w:pPr>
            <w:r>
              <w:rPr>
                <w:rFonts w:ascii="Calibri" w:cs="Calibri" w:eastAsia="Calibri" w:hAnsi="Calibri"/>
                <w:b/>
                <w:bCs/>
                <w:color w:val="1B3A6B"/>
                <w:sz w:val="19"/>
                <w:szCs w:val="19"/>
              </w:rPr>
              <w:t xml:space="preserve">Filed with NOW</w:t>
            </w:r>
          </w:p>
        </w:tc>
      </w:tr>
    </w:tbl>
    <w:p>
      <w:pPr>
        <w:spacing w:after="120"/>
      </w:pPr>
    </w:p>
    <w:p>
      <w:pPr>
        <w:spacing w:after="140" w:line="320"/>
        <w:jc w:val="both"/>
      </w:pPr>
      <w:r>
        <w:rPr>
          <w:rFonts w:ascii="Calibri" w:cs="Calibri" w:eastAsia="Calibri" w:hAnsi="Calibri"/>
          <w:color w:val="2A2A2A"/>
          <w:sz w:val="22"/>
          <w:szCs w:val="22"/>
        </w:rPr>
        <w:t xml:space="preserve">For a standard 5–8 hole diamond drilling program in Ontario on Crown land without significant wetland crossings, total permitting lead time from Notice of Work submission to work commencement is typically 6–16 weeks, assuming First Nations consultation has been initiated in parallel. Ontario's relatively streamlined exploration permitting is a key competitive advantage relative to BC, Quebec, or jurisdictions outside Canada.</w:t>
      </w:r>
    </w:p>
    <w:p>
      <w:pPr>
        <w:pStyle w:val="Heading1"/>
        <w:spacing w:after="180" w:before="360"/>
      </w:pPr>
      <w:r>
        <w:rPr>
          <w:rFonts w:ascii="Georgia" w:cs="Georgia" w:eastAsia="Georgia" w:hAnsi="Georgia"/>
          <w:b/>
          <w:bCs/>
          <w:color w:val="0D1B2E"/>
          <w:sz w:val="32"/>
          <w:szCs w:val="32"/>
        </w:rPr>
        <w:t xml:space="preserve">Required Baseline Studies — Phase 1</w:t>
      </w:r>
    </w:p>
    <w:p>
      <w:pPr>
        <w:spacing w:after="140" w:line="320"/>
        <w:jc w:val="both"/>
      </w:pPr>
      <w:r>
        <w:rPr>
          <w:rFonts w:ascii="Calibri" w:cs="Calibri" w:eastAsia="Calibri" w:hAnsi="Calibri"/>
          <w:color w:val="2A2A2A"/>
          <w:sz w:val="22"/>
          <w:szCs w:val="22"/>
        </w:rPr>
        <w:t xml:space="preserve">The following baseline studies are recommended to be initiated in Year 1 (pre-drilling or concurrent with early-stage exploration) to support Phase 1 permitting and provide the foundation for a future environmental assessment if a resource is defined: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800"/>
        <w:gridCol w:w="2960"/>
      </w:tblGrid>
      <w:tr>
        <w:trPr>
          <w:tblHeader/>
        </w:trPr>
        <w:tc>
          <w:tcPr>
            <w:tcW w:type="dxa" w:w="36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Baseline Study</w:t>
            </w:r>
          </w:p>
        </w:tc>
        <w:tc>
          <w:tcPr>
            <w:tcW w:type="dxa" w:w="280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Purpose / Trigger</w:t>
            </w:r>
          </w:p>
        </w:tc>
        <w:tc>
          <w:tcPr>
            <w:tcW w:type="dxa" w:w="2960"/>
            <w:tcBorders>
              <w:top w:val="single" w:color="B0BDD0" w:sz="4"/>
              <w:left w:val="single" w:color="B0BDD0" w:sz="4"/>
              <w:bottom w:val="single" w:color="B0BDD0" w:sz="4"/>
              <w:right w:val="single" w:color="B0BDD0" w:sz="4"/>
            </w:tcBorders>
            <w:shd w:fill="1B3A6B" w:val="clear"/>
            <w:tcMar>
              <w:top w:type="dxa" w:w="110"/>
              <w:left w:type="dxa" w:w="130"/>
              <w:bottom w:type="dxa" w:w="110"/>
              <w:right w:type="dxa" w:w="130"/>
            </w:tcMar>
          </w:tcPr>
          <w:p>
            <w:pPr>
              <w:jc w:val="center"/>
            </w:pPr>
            <w:r>
              <w:rPr>
                <w:rFonts w:ascii="Calibri" w:cs="Calibri" w:eastAsia="Calibri" w:hAnsi="Calibri"/>
                <w:b/>
                <w:bCs/>
                <w:color w:val="FFFFFF"/>
                <w:sz w:val="17"/>
                <w:szCs w:val="17"/>
              </w:rPr>
              <w:t xml:space="preserve">Timing</w:t>
            </w:r>
          </w:p>
        </w:tc>
      </w:tr>
      <w:tr>
        <w:tc>
          <w:tcPr>
            <w:tcW w:type="dxa" w:w="3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Ecological Baseline Survey (flora, fauna, birds)</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MECP / DFO / species at risk screening</w:t>
            </w:r>
          </w:p>
        </w:tc>
        <w:tc>
          <w:tcPr>
            <w:tcW w:type="dxa" w:w="2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 (growing season)</w:t>
            </w:r>
          </w:p>
        </w:tc>
      </w:tr>
      <w:tr>
        <w:tc>
          <w:tcPr>
            <w:tcW w:type="dxa" w:w="3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Surface Water Quality Sampling (streams, wetlands)</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Baseline for ARD/ML assessment; DFO authorization</w:t>
            </w:r>
          </w:p>
        </w:tc>
        <w:tc>
          <w:tcPr>
            <w:tcW w:type="dxa" w:w="2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 (spring, summer)</w:t>
            </w:r>
          </w:p>
        </w:tc>
      </w:tr>
      <w:tr>
        <w:tc>
          <w:tcPr>
            <w:tcW w:type="dxa" w:w="3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Groundwater Level Monitoring (wells / piezometers)</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Pre-drilling baseline; mine dewatering planning</w:t>
            </w:r>
          </w:p>
        </w:tc>
        <w:tc>
          <w:tcPr>
            <w:tcW w:type="dxa" w:w="2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 (pre-drill)</w:t>
            </w:r>
          </w:p>
        </w:tc>
      </w:tr>
      <w:tr>
        <w:tc>
          <w:tcPr>
            <w:tcW w:type="dxa" w:w="3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Soil and Overburden Characterization</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Spill response planning; reclamation cost estimate</w:t>
            </w:r>
          </w:p>
        </w:tc>
        <w:tc>
          <w:tcPr>
            <w:tcW w:type="dxa" w:w="2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w:t>
            </w:r>
          </w:p>
        </w:tc>
      </w:tr>
      <w:tr>
        <w:tc>
          <w:tcPr>
            <w:tcW w:type="dxa" w:w="3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Wetland Delineation and Classification</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MNDM / MECP; buffers for disturbance permitting</w:t>
            </w:r>
          </w:p>
        </w:tc>
        <w:tc>
          <w:tcPr>
            <w:tcW w:type="dxa" w:w="2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 (spring)</w:t>
            </w:r>
          </w:p>
        </w:tc>
      </w:tr>
      <w:tr>
        <w:tc>
          <w:tcPr>
            <w:tcW w:type="dxa" w:w="3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ARD / Metal Leach (ML) Preliminary Assessment</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Sulphidic waste rock characterization; tailings mgmt</w:t>
            </w:r>
          </w:p>
        </w:tc>
        <w:tc>
          <w:tcPr>
            <w:tcW w:type="dxa" w:w="2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2 (on first core)</w:t>
            </w:r>
          </w:p>
        </w:tc>
      </w:tr>
      <w:tr>
        <w:tc>
          <w:tcPr>
            <w:tcW w:type="dxa" w:w="3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Cultural Heritage / Archaeology Stage 1</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Ontario Heritage Act; required before disturbance</w:t>
            </w:r>
          </w:p>
        </w:tc>
        <w:tc>
          <w:tcPr>
            <w:tcW w:type="dxa" w:w="2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 (concurrent)</w:t>
            </w:r>
          </w:p>
        </w:tc>
      </w:tr>
      <w:tr>
        <w:tc>
          <w:tcPr>
            <w:tcW w:type="dxa" w:w="3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Indigenous Land Use and Occupancy Study</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Duty to Consult; engagement with First Nations</w:t>
            </w:r>
          </w:p>
        </w:tc>
        <w:tc>
          <w:tcPr>
            <w:tcW w:type="dxa" w:w="2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 (early)</w:t>
            </w:r>
          </w:p>
        </w:tc>
      </w:tr>
      <w:tr>
        <w:tc>
          <w:tcPr>
            <w:tcW w:type="dxa" w:w="36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A2A2A"/>
                <w:sz w:val="19"/>
                <w:szCs w:val="19"/>
              </w:rPr>
              <w:t xml:space="preserve">Air Quality / Dust Baseline (if camp or blasting)</w:t>
            </w:r>
          </w:p>
        </w:tc>
        <w:tc>
          <w:tcPr>
            <w:tcW w:type="dxa" w:w="280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color w:val="2A2A2A"/>
                <w:sz w:val="17"/>
                <w:szCs w:val="17"/>
              </w:rPr>
              <w:t xml:space="preserve">MECP; operational planning</w:t>
            </w:r>
          </w:p>
        </w:tc>
        <w:tc>
          <w:tcPr>
            <w:tcW w:type="dxa" w:w="2960"/>
            <w:tcBorders>
              <w:top w:val="single" w:color="B0BDD0" w:sz="4"/>
              <w:left w:val="single" w:color="B0BDD0" w:sz="4"/>
              <w:bottom w:val="single" w:color="B0BDD0" w:sz="4"/>
              <w:right w:val="single" w:color="B0BDD0" w:sz="4"/>
            </w:tcBorders>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2 (if needed)</w:t>
            </w:r>
          </w:p>
        </w:tc>
      </w:tr>
      <w:tr>
        <w:tc>
          <w:tcPr>
            <w:tcW w:type="dxa" w:w="36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A2A2A"/>
                <w:sz w:val="19"/>
                <w:szCs w:val="19"/>
              </w:rPr>
              <w:t xml:space="preserve">Socioeconomic Baseline (community profile)</w:t>
            </w:r>
          </w:p>
        </w:tc>
        <w:tc>
          <w:tcPr>
            <w:tcW w:type="dxa" w:w="280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color w:val="2A2A2A"/>
                <w:sz w:val="17"/>
                <w:szCs w:val="17"/>
              </w:rPr>
              <w:t xml:space="preserve">IBA / Community Agreement foundations</w:t>
            </w:r>
          </w:p>
        </w:tc>
        <w:tc>
          <w:tcPr>
            <w:tcW w:type="dxa" w:w="2960"/>
            <w:tcBorders>
              <w:top w:val="single" w:color="B0BDD0" w:sz="4"/>
              <w:left w:val="single" w:color="B0BDD0" w:sz="4"/>
              <w:bottom w:val="single" w:color="B0BDD0" w:sz="4"/>
              <w:right w:val="single" w:color="B0BDD0" w:sz="4"/>
            </w:tcBorders>
            <w:shd w:fill="E8EDF5" w:val="clear"/>
            <w:tcMar>
              <w:top w:type="dxa" w:w="100"/>
              <w:left w:type="dxa" w:w="130"/>
              <w:bottom w:type="dxa" w:w="100"/>
              <w:right w:type="dxa" w:w="130"/>
            </w:tcMar>
          </w:tcPr>
          <w:p>
            <w:pPr>
              <w:jc w:val="left"/>
            </w:pPr>
            <w:r>
              <w:rPr>
                <w:rFonts w:ascii="Calibri" w:cs="Calibri" w:eastAsia="Calibri" w:hAnsi="Calibri"/>
                <w:b/>
                <w:bCs/>
                <w:color w:val="2D6A45"/>
                <w:sz w:val="19"/>
                <w:szCs w:val="19"/>
              </w:rPr>
              <w:t xml:space="preserve">Year 1</w:t>
            </w:r>
          </w:p>
        </w:tc>
      </w:tr>
    </w:tbl>
    <w:p>
      <w:pPr>
        <w:spacing w:after="120"/>
      </w:pPr>
    </w:p>
    <w:p>
      <w:pPr>
        <w:spacing w:after="140" w:line="320"/>
        <w:jc w:val="both"/>
      </w:pPr>
      <w:r>
        <w:rPr>
          <w:rFonts w:ascii="Calibri" w:cs="Calibri" w:eastAsia="Calibri" w:hAnsi="Calibri"/>
          <w:color w:val="2A2A2A"/>
          <w:sz w:val="22"/>
          <w:szCs w:val="22"/>
        </w:rPr>
        <w:t xml:space="preserve">Many baseline studies can be completed concurrently with the IP geophysics program and claim maintenance activities, minimising schedule impact. Engaging a Sudbury-area environmental consulting firm (several are based in Sudbury and experienced in Sudbury Basin exploration) is recommended for cost efficiency and regulatory familiarity.</w:t>
      </w:r>
    </w:p>
    <w:p>
      <w:pPr>
        <w:pStyle w:val="Heading1"/>
        <w:spacing w:after="180" w:before="360"/>
      </w:pPr>
      <w:r>
        <w:rPr>
          <w:rFonts w:ascii="Georgia" w:cs="Georgia" w:eastAsia="Georgia" w:hAnsi="Georgia"/>
          <w:b/>
          <w:bCs/>
          <w:color w:val="0D1B2E"/>
          <w:sz w:val="32"/>
          <w:szCs w:val="32"/>
        </w:rPr>
        <w:t xml:space="preserve">Environmental Cost Estimates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Phase 1 Environmental / Permitting (budgetary)</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75,000–150,000 (included in Phase 1 G&amp;A budget)</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Phase 1 Ecological Baseline Survey</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25,000–50,000</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Phase 1 Water / Groundwater Baseline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15,000–30,000</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Phase 1 ARD/ML Static Tests (on core)</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10,000–25,000</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Indigenous Engagement (Phase 1)</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20,000–50,000</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Phase 1 Reclamation / Site Restoration</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30,000–80,000 (bonded with MNDM)</w:t>
            </w:r>
          </w:p>
        </w:tc>
      </w:tr>
      <w:tr>
        <w:tc>
          <w:tcPr>
            <w:tcW w:type="dxa" w:w="3200"/>
            <w:tcBorders>
              <w:top w:val="single" w:color="B0BDD0" w:sz="4"/>
              <w:left w:val="single" w:color="B0BDD0" w:sz="4"/>
              <w:bottom w:val="single" w:color="B0BDD0" w:sz="4"/>
              <w:right w:val="single" w:color="B0BDD0" w:sz="4"/>
            </w:tcBorders>
            <w:shd w:fill="E8EDF5" w:val="clear"/>
            <w:tcMar>
              <w:top w:type="dxa" w:w="100"/>
              <w:left w:type="dxa" w:w="180"/>
              <w:bottom w:type="dxa" w:w="100"/>
              <w:right w:type="dxa" w:w="140"/>
            </w:tcMar>
          </w:tcPr>
          <w:p>
            <w:r>
              <w:rPr>
                <w:rFonts w:ascii="Calibri" w:cs="Calibri" w:eastAsia="Calibri" w:hAnsi="Calibri"/>
                <w:b/>
                <w:bCs/>
                <w:color w:val="0D1B2E"/>
                <w:sz w:val="19"/>
                <w:szCs w:val="19"/>
              </w:rPr>
              <w:t xml:space="preserve">Total Env. Budget (Phase 1, budgetary)</w:t>
            </w:r>
          </w:p>
        </w:tc>
        <w:tc>
          <w:tcPr>
            <w:tcW w:type="dxa" w:w="6160"/>
            <w:tcBorders>
              <w:top w:val="single" w:color="B0BDD0" w:sz="4"/>
              <w:left w:val="single" w:color="B0BDD0" w:sz="4"/>
              <w:bottom w:val="single" w:color="B0BDD0" w:sz="4"/>
              <w:right w:val="single" w:color="B0BDD0" w:sz="4"/>
            </w:tcBorders>
            <w:tcMar>
              <w:top w:type="dxa" w:w="100"/>
              <w:left w:type="dxa" w:w="160"/>
              <w:bottom w:type="dxa" w:w="100"/>
              <w:right w:type="dxa" w:w="160"/>
            </w:tcMar>
          </w:tcPr>
          <w:p>
            <w:r>
              <w:rPr>
                <w:rFonts w:ascii="Calibri" w:cs="Calibri" w:eastAsia="Calibri" w:hAnsi="Calibri"/>
                <w:color w:val="2A2A2A"/>
                <w:sz w:val="20"/>
                <w:szCs w:val="20"/>
              </w:rPr>
              <w:t xml:space="preserve">CAD 175,000–385,000 (10–20% of total Phase 1 budget)</w:t>
            </w:r>
          </w:p>
        </w:tc>
      </w:tr>
    </w:tbl>
    <w:p>
      <w:pPr>
        <w:pStyle w:val="Heading1"/>
        <w:spacing w:after="180" w:before="360"/>
      </w:pPr>
      <w:r>
        <w:rPr>
          <w:rFonts w:ascii="Georgia" w:cs="Georgia" w:eastAsia="Georgia" w:hAnsi="Georgia"/>
          <w:b/>
          <w:bCs/>
          <w:color w:val="0D1B2E"/>
          <w:sz w:val="32"/>
          <w:szCs w:val="32"/>
        </w:rPr>
        <w:t xml:space="preserve">Sudbury Environmental Advantage</w:t>
      </w:r>
    </w:p>
    <w:p>
      <w:pPr>
        <w:spacing w:after="140" w:line="320"/>
        <w:jc w:val="both"/>
      </w:pPr>
      <w:r>
        <w:rPr>
          <w:rFonts w:ascii="Calibri" w:cs="Calibri" w:eastAsia="Calibri" w:hAnsi="Calibri"/>
          <w:color w:val="2A2A2A"/>
          <w:sz w:val="22"/>
          <w:szCs w:val="22"/>
        </w:rPr>
        <w:t xml:space="preserve">The Sudbury Basin offers a significant environmental processing advantage relative to remote or greenfield nickel projects: two operating smelters within 25–50 km of Nairn can handle Ni-Cu-Co-PGE sulphide concentrates with established infrastructure, experienced workforces, and existing regulatory approvals. This eliminates the need for a new greenfield smelter (capital cost typically USD 1–3 billion) and associated environmental approval process for any future Nairn development.</w:t>
      </w:r>
    </w:p>
    <w:p>
      <w:pPr>
        <w:spacing w:after="140" w:line="320"/>
        <w:jc w:val="both"/>
      </w:pPr>
      <w:r>
        <w:rPr>
          <w:rFonts w:ascii="Calibri" w:cs="Calibri" w:eastAsia="Calibri" w:hAnsi="Calibri"/>
          <w:color w:val="2A2A2A"/>
          <w:sz w:val="22"/>
          <w:szCs w:val="22"/>
        </w:rPr>
        <w:t xml:space="preserve">Additionally, Ontario's Sudbury area has one of the most positive historical mining ESG track-records globally — the Sudbury regreening program, community partnerships, and decades of operational environmental management provide a well-established social licence framework for responsible nickel mining.</w:t>
      </w:r>
    </w:p>
    <w:p>
      <w:pPr>
        <w:spacing w:after="180"/>
      </w:pPr>
    </w:p>
    <w:p>
      <w:pPr>
        <w:pBdr>
          <w:top w:val="single" w:color="1B3A6B" w:sz="8" w:space="6"/>
        </w:pBdr>
        <w:spacing w:after="80" w:before="240"/>
      </w:pPr>
      <w:r>
        <w:rPr>
          <w:rFonts w:ascii="Calibri" w:cs="Calibri" w:eastAsia="Calibri" w:hAnsi="Calibri"/>
          <w:b/>
          <w:bCs/>
          <w:color w:val="4A5E7A"/>
          <w:spacing w:val="60"/>
          <w:sz w:val="18"/>
          <w:szCs w:val="18"/>
        </w:rPr>
        <w:t xml:space="preserve">NOTE</w:t>
      </w:r>
    </w:p>
    <w:p>
      <w:pPr>
        <w:spacing w:after="80" w:line="280"/>
      </w:pPr>
      <w:r>
        <w:rPr>
          <w:rFonts w:ascii="Calibri" w:cs="Calibri" w:eastAsia="Calibri" w:hAnsi="Calibri"/>
          <w:i/>
          <w:iCs/>
          <w:color w:val="4A5E7A"/>
          <w:sz w:val="18"/>
          <w:szCs w:val="18"/>
        </w:rPr>
        <w:t xml:space="preserve">This section provides a general framework based on typical Ontario mining exploration requirements as of 2025. Regulatory requirements are subject to change. All permitting, consultation, and environmental work must be carried out by qualified practitioners under applicable Ontario and federal legislation. This document does not constitute legal or regulatory advice.</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4A5E7A"/>
        <w:sz w:val="16"/>
        <w:szCs w:val="16"/>
      </w:rPr>
      <w:t xml:space="preserve">Environmental Baseline  •  Page </w:t>
    </w:r>
    <w:r>
      <w:rPr>
        <w:rFonts w:ascii="Calibri" w:cs="Calibri" w:eastAsia="Calibri" w:hAnsi="Calibri"/>
        <w:color w:val="4A5E7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4A5E7A"/>
        <w:spacing w:val="40"/>
        <w:sz w:val="16"/>
        <w:szCs w:val="16"/>
      </w:rPr>
      <w:t xml:space="preserve">NAIRN Ni Cu PGE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1B3A6B"/>
        <w:sz w:val="16"/>
        <w:szCs w:val="16"/>
      </w:rPr>
    </w:lvl>
  </w:abstractNum>
  <w:abstractNum w:abstractNumId="3" w15:restartNumberingAfterBreak="0">
    <w:multiLevelType w:val="hybridMultilevel"/>
    <w:lvl w:ilvl="0" w15:tentative="1">
      <w:start w:val="1"/>
      <w:numFmt w:val="bullet"/>
      <w:lvlText w:val="•"/>
      <w:lvlJc w:val="left"/>
      <w:pPr>
        <w:ind w:left="720" w:hanging="280"/>
      </w:pPr>
      <w:rPr>
        <w:rFonts w:ascii="Calibri" w:cs="Calibri" w:eastAsia="Calibri" w:hAnsi="Calibri"/>
        <w:color w:val="4A5E7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Nairn — Environmental Baseline</dc:title>
  <dc:creator>Nairn Data Room</dc:creator>
  <cp:lastModifiedBy>Un-named</cp:lastModifiedBy>
  <cp:revision>1</cp:revision>
  <dcterms:created xsi:type="dcterms:W3CDTF">2026-05-15T14:29:37.583Z</dcterms:created>
  <dcterms:modified xsi:type="dcterms:W3CDTF">2026-05-15T14:29:37.583Z</dcterms:modified>
</cp:coreProperties>
</file>

<file path=docProps/custom.xml><?xml version="1.0" encoding="utf-8"?>
<Properties xmlns="http://schemas.openxmlformats.org/officeDocument/2006/custom-properties" xmlns:vt="http://schemas.openxmlformats.org/officeDocument/2006/docPropsVTypes"/>
</file>