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Calibri" w:cs="Calibri" w:eastAsia="Calibri" w:hAnsi="Calibri"/>
          <w:b/>
          <w:bCs/>
          <w:color w:val="4A5E7A"/>
          <w:spacing w:val="60"/>
          <w:sz w:val="17"/>
          <w:szCs w:val="17"/>
        </w:rPr>
        <w:t xml:space="preserve">COMPARABLE TRANSACTIONS — DOCUMENT 05.1  |  DATA ROOM</w:t>
      </w:r>
    </w:p>
    <w:p>
      <w:pPr>
        <w:spacing w:after="20"/>
      </w:pPr>
      <w:r>
        <w:rPr>
          <w:rFonts w:ascii="Georgia" w:cs="Georgia" w:eastAsia="Georgia" w:hAnsi="Georgia"/>
          <w:b/>
          <w:bCs/>
          <w:color w:val="0D1B2E"/>
          <w:sz w:val="48"/>
          <w:szCs w:val="48"/>
        </w:rPr>
        <w:t xml:space="preserve">Comparable Transactions</w:t>
      </w:r>
    </w:p>
    <w:p>
      <w:pPr>
        <w:spacing w:after="40"/>
      </w:pPr>
      <w:r>
        <w:rPr>
          <w:rFonts w:ascii="Georgia" w:cs="Georgia" w:eastAsia="Georgia" w:hAnsi="Georgia"/>
          <w:i/>
          <w:iCs/>
          <w:color w:val="1B3A6B"/>
          <w:sz w:val="26"/>
          <w:szCs w:val="26"/>
        </w:rPr>
        <w:t xml:space="preserve">Nairn Ni Cu PGE Project — M&amp;A and Market Valuation Context</w:t>
      </w:r>
    </w:p>
    <w:p>
      <w:pPr>
        <w:pBdr>
          <w:bottom w:val="single" w:color="1B3A6B" w:sz="24" w:space="1"/>
        </w:pBdr>
        <w:spacing w:after="240"/>
      </w:pPr>
    </w:p>
    <w:p>
      <w:pPr>
        <w:pStyle w:val="Heading1"/>
        <w:spacing w:after="180" w:before="360"/>
      </w:pPr>
      <w:r>
        <w:rPr>
          <w:rFonts w:ascii="Georgia" w:cs="Georgia" w:eastAsia="Georgia" w:hAnsi="Georgia"/>
          <w:b/>
          <w:bCs/>
          <w:color w:val="0D1B2E"/>
          <w:sz w:val="32"/>
          <w:szCs w:val="32"/>
        </w:rPr>
        <w:t xml:space="preserve">Introduction</w:t>
      </w:r>
    </w:p>
    <w:p>
      <w:pPr>
        <w:spacing w:after="140" w:line="320"/>
        <w:jc w:val="both"/>
      </w:pPr>
      <w:r>
        <w:rPr>
          <w:rFonts w:ascii="Calibri" w:cs="Calibri" w:eastAsia="Calibri" w:hAnsi="Calibri"/>
          <w:color w:val="2A2A2A"/>
          <w:sz w:val="22"/>
          <w:szCs w:val="22"/>
        </w:rPr>
        <w:t xml:space="preserve">This section provides market context for valuing or structuring a transaction around the Nairn Ni Cu PGE Property. Comparable data is drawn from: (1) large-scale M&amp;A transactions involving Sudbury Basin mine assets; (2) early-stage exploration option and purchase deals for Ontario nickel properties; and (3) current market valuations of listed junior nickel exploration companies in Canada. All figures are approximate and sourced from public disclosures, press releases, and industry databases.</w:t>
      </w:r>
    </w:p>
    <w:p>
      <w:pPr>
        <w:spacing w:after="140" w:line="320"/>
        <w:jc w:val="both"/>
      </w:pPr>
      <w:r>
        <w:rPr>
          <w:rFonts w:ascii="Calibri" w:cs="Calibri" w:eastAsia="Calibri" w:hAnsi="Calibri"/>
          <w:color w:val="2A2A2A"/>
          <w:sz w:val="22"/>
          <w:szCs w:val="22"/>
        </w:rPr>
        <w:t xml:space="preserve">Nairn is an early-stage exploration property. The most directly applicable comparables are early-stage option deals and junior company valuations for pre-resource Sudbury-type properties, rather than M&amp;A of producing mines (which are presented for context to illustrate district-scale value).</w:t>
      </w:r>
    </w:p>
    <w:p>
      <w:pPr>
        <w:pStyle w:val="Heading1"/>
        <w:spacing w:after="180" w:before="360"/>
      </w:pPr>
      <w:r>
        <w:rPr>
          <w:rFonts w:ascii="Georgia" w:cs="Georgia" w:eastAsia="Georgia" w:hAnsi="Georgia"/>
          <w:b/>
          <w:bCs/>
          <w:color w:val="0D1B2E"/>
          <w:sz w:val="32"/>
          <w:szCs w:val="32"/>
        </w:rPr>
        <w:t xml:space="preserve">Major M&amp;A Transactions — Sudbury Basin Context</w:t>
      </w:r>
    </w:p>
    <w:p>
      <w:pPr>
        <w:spacing w:after="140" w:line="320"/>
        <w:jc w:val="both"/>
      </w:pPr>
      <w:r>
        <w:rPr>
          <w:rFonts w:ascii="Calibri" w:cs="Calibri" w:eastAsia="Calibri" w:hAnsi="Calibri"/>
          <w:color w:val="2A2A2A"/>
          <w:sz w:val="22"/>
          <w:szCs w:val="22"/>
        </w:rPr>
        <w:t xml:space="preserve">The following table lists significant transactions involving Sudbury Basin Ni-Cu-PGE assets, ranging from major corporate acquisitions to junior exploration deals. Transactions marked (*) involve corporate entities whose total deal value encompasses many assets beyond the single property; per-tonne NiEq estimates are indicative.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700"/>
        <w:gridCol w:w="1300"/>
        <w:gridCol w:w="560"/>
        <w:gridCol w:w="1000"/>
        <w:gridCol w:w="560"/>
        <w:gridCol w:w="560"/>
        <w:gridCol w:w="760"/>
        <w:gridCol w:w="1260"/>
        <w:gridCol w:w="1660"/>
      </w:tblGrid>
      <w:tr>
        <w:trPr>
          <w:tblHeader/>
        </w:trPr>
        <w:tc>
          <w:tcPr>
            <w:tcW w:type="dxa" w:w="17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1B3A6B" w:val="clear"/>
            <w:tcMar>
              <w:top w:type="dxa" w:w="110"/>
              <w:left w:type="dxa" w:w="130"/>
              <w:bottom w:type="dxa" w:w="110"/>
              <w:right w:type="dxa" w:w="13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Target Property</w:t>
            </w:r>
          </w:p>
        </w:tc>
        <w:tc>
          <w:tcPr>
            <w:tcW w:type="dxa" w:w="13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1B3A6B" w:val="clear"/>
            <w:tcMar>
              <w:top w:type="dxa" w:w="110"/>
              <w:left w:type="dxa" w:w="130"/>
              <w:bottom w:type="dxa" w:w="110"/>
              <w:right w:type="dxa" w:w="13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Acquirer</w:t>
            </w:r>
          </w:p>
        </w:tc>
        <w:tc>
          <w:tcPr>
            <w:tcW w:type="dxa" w:w="56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1B3A6B" w:val="clear"/>
            <w:tcMar>
              <w:top w:type="dxa" w:w="110"/>
              <w:left w:type="dxa" w:w="130"/>
              <w:bottom w:type="dxa" w:w="110"/>
              <w:right w:type="dxa" w:w="13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Year</w:t>
            </w:r>
          </w:p>
        </w:tc>
        <w:tc>
          <w:tcPr>
            <w:tcW w:type="dxa" w:w="10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1B3A6B" w:val="clear"/>
            <w:tcMar>
              <w:top w:type="dxa" w:w="110"/>
              <w:left w:type="dxa" w:w="130"/>
              <w:bottom w:type="dxa" w:w="110"/>
              <w:right w:type="dxa" w:w="13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Stage</w:t>
            </w:r>
          </w:p>
        </w:tc>
        <w:tc>
          <w:tcPr>
            <w:tcW w:type="dxa" w:w="56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1B3A6B" w:val="clear"/>
            <w:tcMar>
              <w:top w:type="dxa" w:w="110"/>
              <w:left w:type="dxa" w:w="130"/>
              <w:bottom w:type="dxa" w:w="110"/>
              <w:right w:type="dxa" w:w="13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Ni%</w:t>
            </w:r>
          </w:p>
        </w:tc>
        <w:tc>
          <w:tcPr>
            <w:tcW w:type="dxa" w:w="56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1B3A6B" w:val="clear"/>
            <w:tcMar>
              <w:top w:type="dxa" w:w="110"/>
              <w:left w:type="dxa" w:w="130"/>
              <w:bottom w:type="dxa" w:w="110"/>
              <w:right w:type="dxa" w:w="13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Cu%</w:t>
            </w:r>
          </w:p>
        </w:tc>
        <w:tc>
          <w:tcPr>
            <w:tcW w:type="dxa" w:w="76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1B3A6B" w:val="clear"/>
            <w:tcMar>
              <w:top w:type="dxa" w:w="110"/>
              <w:left w:type="dxa" w:w="130"/>
              <w:bottom w:type="dxa" w:w="110"/>
              <w:right w:type="dxa" w:w="13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Mt</w:t>
            </w:r>
          </w:p>
        </w:tc>
        <w:tc>
          <w:tcPr>
            <w:tcW w:type="dxa" w:w="126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1B3A6B" w:val="clear"/>
            <w:tcMar>
              <w:top w:type="dxa" w:w="110"/>
              <w:left w:type="dxa" w:w="130"/>
              <w:bottom w:type="dxa" w:w="110"/>
              <w:right w:type="dxa" w:w="13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Deal Value</w:t>
            </w:r>
          </w:p>
        </w:tc>
        <w:tc>
          <w:tcPr>
            <w:tcW w:type="dxa" w:w="166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1B3A6B" w:val="clear"/>
            <w:tcMar>
              <w:top w:type="dxa" w:w="110"/>
              <w:left w:type="dxa" w:w="130"/>
              <w:bottom w:type="dxa" w:w="110"/>
              <w:right w:type="dxa" w:w="13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EV/t NiEq</w:t>
            </w:r>
          </w:p>
        </w:tc>
      </w:tr>
      <w:tr>
        <w:tc>
          <w:tcPr>
            <w:tcW w:type="dxa" w:w="17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2A2A2A"/>
                <w:sz w:val="19"/>
                <w:szCs w:val="19"/>
              </w:rPr>
              <w:t xml:space="preserve">Victoria (KGHM)</w:t>
            </w:r>
          </w:p>
        </w:tc>
        <w:tc>
          <w:tcPr>
            <w:tcW w:type="dxa" w:w="13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2A2A2A"/>
                <w:sz w:val="19"/>
                <w:szCs w:val="19"/>
              </w:rPr>
              <w:t xml:space="preserve">KGHM / FNX acquisition</w:t>
            </w:r>
          </w:p>
        </w:tc>
        <w:tc>
          <w:tcPr>
            <w:tcW w:type="dxa" w:w="56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2A2A2A"/>
                <w:sz w:val="19"/>
                <w:szCs w:val="19"/>
              </w:rPr>
              <w:t xml:space="preserve">2012</w:t>
            </w:r>
          </w:p>
        </w:tc>
        <w:tc>
          <w:tcPr>
            <w:tcW w:type="dxa" w:w="10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2A2A2A"/>
                <w:sz w:val="19"/>
                <w:szCs w:val="19"/>
              </w:rPr>
              <w:t xml:space="preserve">Dev (Res.)</w:t>
            </w:r>
          </w:p>
        </w:tc>
        <w:tc>
          <w:tcPr>
            <w:tcW w:type="dxa" w:w="56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B3A6B"/>
                <w:sz w:val="19"/>
                <w:szCs w:val="19"/>
              </w:rPr>
              <w:t xml:space="preserve">2.5%</w:t>
            </w:r>
          </w:p>
        </w:tc>
        <w:tc>
          <w:tcPr>
            <w:tcW w:type="dxa" w:w="56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2A2A2A"/>
                <w:sz w:val="19"/>
                <w:szCs w:val="19"/>
              </w:rPr>
              <w:t xml:space="preserve">2.5%</w:t>
            </w:r>
          </w:p>
        </w:tc>
        <w:tc>
          <w:tcPr>
            <w:tcW w:type="dxa" w:w="76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2A2A2A"/>
                <w:sz w:val="19"/>
                <w:szCs w:val="19"/>
              </w:rPr>
              <w:t xml:space="preserve">14.5</w:t>
            </w:r>
          </w:p>
        </w:tc>
        <w:tc>
          <w:tcPr>
            <w:tcW w:type="dxa" w:w="126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2D6A45"/>
                <w:sz w:val="19"/>
                <w:szCs w:val="19"/>
              </w:rPr>
              <w:t xml:space="preserve">~$2.8B total*</w:t>
            </w:r>
          </w:p>
        </w:tc>
        <w:tc>
          <w:tcPr>
            <w:tcW w:type="dxa" w:w="166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D1B2E"/>
                <w:sz w:val="19"/>
                <w:szCs w:val="19"/>
              </w:rPr>
              <w:t xml:space="preserve">~USD 600 (est.)</w:t>
            </w:r>
          </w:p>
        </w:tc>
      </w:tr>
      <w:tr>
        <w:tc>
          <w:tcPr>
            <w:tcW w:type="dxa" w:w="17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2A2A2A"/>
                <w:sz w:val="19"/>
                <w:szCs w:val="19"/>
              </w:rPr>
              <w:t xml:space="preserve">Totten (Vale)</w:t>
            </w:r>
          </w:p>
        </w:tc>
        <w:tc>
          <w:tcPr>
            <w:tcW w:type="dxa" w:w="13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2A2A2A"/>
                <w:sz w:val="19"/>
                <w:szCs w:val="19"/>
              </w:rPr>
              <w:t xml:space="preserve">Vale / Inco acquis.</w:t>
            </w:r>
          </w:p>
        </w:tc>
        <w:tc>
          <w:tcPr>
            <w:tcW w:type="dxa" w:w="56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2A2A2A"/>
                <w:sz w:val="19"/>
                <w:szCs w:val="19"/>
              </w:rPr>
              <w:t xml:space="preserve">2006</w:t>
            </w:r>
          </w:p>
        </w:tc>
        <w:tc>
          <w:tcPr>
            <w:tcW w:type="dxa" w:w="10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2A2A2A"/>
                <w:sz w:val="19"/>
                <w:szCs w:val="19"/>
              </w:rPr>
              <w:t xml:space="preserve">Dev (Res.)</w:t>
            </w:r>
          </w:p>
        </w:tc>
        <w:tc>
          <w:tcPr>
            <w:tcW w:type="dxa" w:w="56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B3A6B"/>
                <w:sz w:val="19"/>
                <w:szCs w:val="19"/>
              </w:rPr>
              <w:t xml:space="preserve">1.5%</w:t>
            </w:r>
          </w:p>
        </w:tc>
        <w:tc>
          <w:tcPr>
            <w:tcW w:type="dxa" w:w="56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2A2A2A"/>
                <w:sz w:val="19"/>
                <w:szCs w:val="19"/>
              </w:rPr>
              <w:t xml:space="preserve">2.0%</w:t>
            </w:r>
          </w:p>
        </w:tc>
        <w:tc>
          <w:tcPr>
            <w:tcW w:type="dxa" w:w="76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2A2A2A"/>
                <w:sz w:val="19"/>
                <w:szCs w:val="19"/>
              </w:rPr>
              <w:t xml:space="preserve">10.5</w:t>
            </w:r>
          </w:p>
        </w:tc>
        <w:tc>
          <w:tcPr>
            <w:tcW w:type="dxa" w:w="126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2D6A45"/>
                <w:sz w:val="19"/>
                <w:szCs w:val="19"/>
              </w:rPr>
              <w:t xml:space="preserve">~$18.5B total*</w:t>
            </w:r>
          </w:p>
        </w:tc>
        <w:tc>
          <w:tcPr>
            <w:tcW w:type="dxa" w:w="166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D1B2E"/>
                <w:sz w:val="19"/>
                <w:szCs w:val="19"/>
              </w:rPr>
              <w:t xml:space="preserve">~USD 500 (est.)</w:t>
            </w:r>
          </w:p>
        </w:tc>
      </w:tr>
      <w:tr>
        <w:tc>
          <w:tcPr>
            <w:tcW w:type="dxa" w:w="17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2A2A2A"/>
                <w:sz w:val="19"/>
                <w:szCs w:val="19"/>
              </w:rPr>
              <w:t xml:space="preserve">Nickel Rim South</w:t>
            </w:r>
          </w:p>
        </w:tc>
        <w:tc>
          <w:tcPr>
            <w:tcW w:type="dxa" w:w="13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2A2A2A"/>
                <w:sz w:val="19"/>
                <w:szCs w:val="19"/>
              </w:rPr>
              <w:t xml:space="preserve">Glencore / Falco.</w:t>
            </w:r>
          </w:p>
        </w:tc>
        <w:tc>
          <w:tcPr>
            <w:tcW w:type="dxa" w:w="56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2A2A2A"/>
                <w:sz w:val="19"/>
                <w:szCs w:val="19"/>
              </w:rPr>
              <w:t xml:space="preserve">2013</w:t>
            </w:r>
          </w:p>
        </w:tc>
        <w:tc>
          <w:tcPr>
            <w:tcW w:type="dxa" w:w="10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2A2A2A"/>
                <w:sz w:val="19"/>
                <w:szCs w:val="19"/>
              </w:rPr>
              <w:t xml:space="preserve">Pre-prod.</w:t>
            </w:r>
          </w:p>
        </w:tc>
        <w:tc>
          <w:tcPr>
            <w:tcW w:type="dxa" w:w="56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B3A6B"/>
                <w:sz w:val="19"/>
                <w:szCs w:val="19"/>
              </w:rPr>
              <w:t xml:space="preserve">2.17%</w:t>
            </w:r>
          </w:p>
        </w:tc>
        <w:tc>
          <w:tcPr>
            <w:tcW w:type="dxa" w:w="56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2A2A2A"/>
                <w:sz w:val="19"/>
                <w:szCs w:val="19"/>
              </w:rPr>
              <w:t xml:space="preserve">0.70%</w:t>
            </w:r>
          </w:p>
        </w:tc>
        <w:tc>
          <w:tcPr>
            <w:tcW w:type="dxa" w:w="76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2A2A2A"/>
                <w:sz w:val="19"/>
                <w:szCs w:val="19"/>
              </w:rPr>
              <w:t xml:space="preserve">14.5</w:t>
            </w:r>
          </w:p>
        </w:tc>
        <w:tc>
          <w:tcPr>
            <w:tcW w:type="dxa" w:w="126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2D6A45"/>
                <w:sz w:val="19"/>
                <w:szCs w:val="19"/>
              </w:rPr>
              <w:t xml:space="preserve">~$1.4B total*</w:t>
            </w:r>
          </w:p>
        </w:tc>
        <w:tc>
          <w:tcPr>
            <w:tcW w:type="dxa" w:w="166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D1B2E"/>
                <w:sz w:val="19"/>
                <w:szCs w:val="19"/>
              </w:rPr>
              <w:t xml:space="preserve">~USD 400 (est.)</w:t>
            </w:r>
          </w:p>
        </w:tc>
      </w:tr>
      <w:tr>
        <w:tc>
          <w:tcPr>
            <w:tcW w:type="dxa" w:w="17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2A2A2A"/>
                <w:sz w:val="19"/>
                <w:szCs w:val="19"/>
              </w:rPr>
              <w:t xml:space="preserve">Crawford (Ni)</w:t>
            </w:r>
          </w:p>
        </w:tc>
        <w:tc>
          <w:tcPr>
            <w:tcW w:type="dxa" w:w="13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2A2A2A"/>
                <w:sz w:val="19"/>
                <w:szCs w:val="19"/>
              </w:rPr>
              <w:t xml:space="preserve">KWG Resources</w:t>
            </w:r>
          </w:p>
        </w:tc>
        <w:tc>
          <w:tcPr>
            <w:tcW w:type="dxa" w:w="56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2A2A2A"/>
                <w:sz w:val="19"/>
                <w:szCs w:val="19"/>
              </w:rPr>
              <w:t xml:space="preserve">2022</w:t>
            </w:r>
          </w:p>
        </w:tc>
        <w:tc>
          <w:tcPr>
            <w:tcW w:type="dxa" w:w="10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2A2A2A"/>
                <w:sz w:val="19"/>
                <w:szCs w:val="19"/>
              </w:rPr>
              <w:t xml:space="preserve">PEA stage</w:t>
            </w:r>
          </w:p>
        </w:tc>
        <w:tc>
          <w:tcPr>
            <w:tcW w:type="dxa" w:w="56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B3A6B"/>
                <w:sz w:val="19"/>
                <w:szCs w:val="19"/>
              </w:rPr>
              <w:t xml:space="preserve">0.26%</w:t>
            </w:r>
          </w:p>
        </w:tc>
        <w:tc>
          <w:tcPr>
            <w:tcW w:type="dxa" w:w="56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2A2A2A"/>
                <w:sz w:val="19"/>
                <w:szCs w:val="19"/>
              </w:rPr>
              <w:t xml:space="preserve">—</w:t>
            </w:r>
          </w:p>
        </w:tc>
        <w:tc>
          <w:tcPr>
            <w:tcW w:type="dxa" w:w="76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2A2A2A"/>
                <w:sz w:val="19"/>
                <w:szCs w:val="19"/>
              </w:rPr>
              <w:t xml:space="preserve">1,800</w:t>
            </w:r>
          </w:p>
        </w:tc>
        <w:tc>
          <w:tcPr>
            <w:tcW w:type="dxa" w:w="126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2D6A45"/>
                <w:sz w:val="19"/>
                <w:szCs w:val="19"/>
              </w:rPr>
              <w:t xml:space="preserve">CAD 250M mktcap</w:t>
            </w:r>
          </w:p>
        </w:tc>
        <w:tc>
          <w:tcPr>
            <w:tcW w:type="dxa" w:w="166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D1B2E"/>
                <w:sz w:val="19"/>
                <w:szCs w:val="19"/>
              </w:rPr>
              <w:t xml:space="preserve">~USD 35</w:t>
            </w:r>
          </w:p>
        </w:tc>
      </w:tr>
      <w:tr>
        <w:tc>
          <w:tcPr>
            <w:tcW w:type="dxa" w:w="17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2A2A2A"/>
                <w:sz w:val="19"/>
                <w:szCs w:val="19"/>
              </w:rPr>
              <w:t xml:space="preserve">Aer-Kidd (Ni)</w:t>
            </w:r>
          </w:p>
        </w:tc>
        <w:tc>
          <w:tcPr>
            <w:tcW w:type="dxa" w:w="13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2A2A2A"/>
                <w:sz w:val="19"/>
                <w:szCs w:val="19"/>
              </w:rPr>
              <w:t xml:space="preserve">Aer-Kidd Nickel</w:t>
            </w:r>
          </w:p>
        </w:tc>
        <w:tc>
          <w:tcPr>
            <w:tcW w:type="dxa" w:w="56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2A2A2A"/>
                <w:sz w:val="19"/>
                <w:szCs w:val="19"/>
              </w:rPr>
              <w:t xml:space="preserve">2023</w:t>
            </w:r>
          </w:p>
        </w:tc>
        <w:tc>
          <w:tcPr>
            <w:tcW w:type="dxa" w:w="10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2A2A2A"/>
                <w:sz w:val="19"/>
                <w:szCs w:val="19"/>
              </w:rPr>
              <w:t xml:space="preserve">Exploration</w:t>
            </w:r>
          </w:p>
        </w:tc>
        <w:tc>
          <w:tcPr>
            <w:tcW w:type="dxa" w:w="56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B3A6B"/>
                <w:sz w:val="19"/>
                <w:szCs w:val="19"/>
              </w:rPr>
              <w:t xml:space="preserve">—</w:t>
            </w:r>
          </w:p>
        </w:tc>
        <w:tc>
          <w:tcPr>
            <w:tcW w:type="dxa" w:w="56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2A2A2A"/>
                <w:sz w:val="19"/>
                <w:szCs w:val="19"/>
              </w:rPr>
              <w:t xml:space="preserve">—</w:t>
            </w:r>
          </w:p>
        </w:tc>
        <w:tc>
          <w:tcPr>
            <w:tcW w:type="dxa" w:w="76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2A2A2A"/>
                <w:sz w:val="19"/>
                <w:szCs w:val="19"/>
              </w:rPr>
              <w:t xml:space="preserve">—</w:t>
            </w:r>
          </w:p>
        </w:tc>
        <w:tc>
          <w:tcPr>
            <w:tcW w:type="dxa" w:w="126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2D6A45"/>
                <w:sz w:val="19"/>
                <w:szCs w:val="19"/>
              </w:rPr>
              <w:t xml:space="preserve">CAD 15–25M (option)</w:t>
            </w:r>
          </w:p>
        </w:tc>
        <w:tc>
          <w:tcPr>
            <w:tcW w:type="dxa" w:w="166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D1B2E"/>
                <w:sz w:val="19"/>
                <w:szCs w:val="19"/>
              </w:rPr>
              <w:t xml:space="preserve">Exploration premium</w:t>
            </w:r>
          </w:p>
        </w:tc>
      </w:tr>
      <w:tr>
        <w:tc>
          <w:tcPr>
            <w:tcW w:type="dxa" w:w="17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2A2A2A"/>
                <w:sz w:val="19"/>
                <w:szCs w:val="19"/>
              </w:rPr>
              <w:t xml:space="preserve">Magna Mining (VALE Sud.)</w:t>
            </w:r>
          </w:p>
        </w:tc>
        <w:tc>
          <w:tcPr>
            <w:tcW w:type="dxa" w:w="13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2A2A2A"/>
                <w:sz w:val="19"/>
                <w:szCs w:val="19"/>
              </w:rPr>
              <w:t xml:space="preserve">Magna Mining</w:t>
            </w:r>
          </w:p>
        </w:tc>
        <w:tc>
          <w:tcPr>
            <w:tcW w:type="dxa" w:w="56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2A2A2A"/>
                <w:sz w:val="19"/>
                <w:szCs w:val="19"/>
              </w:rPr>
              <w:t xml:space="preserve">2022</w:t>
            </w:r>
          </w:p>
        </w:tc>
        <w:tc>
          <w:tcPr>
            <w:tcW w:type="dxa" w:w="10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2A2A2A"/>
                <w:sz w:val="19"/>
                <w:szCs w:val="19"/>
              </w:rPr>
              <w:t xml:space="preserve">PEA stage</w:t>
            </w:r>
          </w:p>
        </w:tc>
        <w:tc>
          <w:tcPr>
            <w:tcW w:type="dxa" w:w="56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B3A6B"/>
                <w:sz w:val="19"/>
                <w:szCs w:val="19"/>
              </w:rPr>
              <w:t xml:space="preserve">1.3%</w:t>
            </w:r>
          </w:p>
        </w:tc>
        <w:tc>
          <w:tcPr>
            <w:tcW w:type="dxa" w:w="56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2A2A2A"/>
                <w:sz w:val="19"/>
                <w:szCs w:val="19"/>
              </w:rPr>
              <w:t xml:space="preserve">0.8%</w:t>
            </w:r>
          </w:p>
        </w:tc>
        <w:tc>
          <w:tcPr>
            <w:tcW w:type="dxa" w:w="76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2A2A2A"/>
                <w:sz w:val="19"/>
                <w:szCs w:val="19"/>
              </w:rPr>
              <w:t xml:space="preserve">~7.5</w:t>
            </w:r>
          </w:p>
        </w:tc>
        <w:tc>
          <w:tcPr>
            <w:tcW w:type="dxa" w:w="126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2D6A45"/>
                <w:sz w:val="19"/>
                <w:szCs w:val="19"/>
              </w:rPr>
              <w:t xml:space="preserve">CAD ~140M mktcap</w:t>
            </w:r>
          </w:p>
        </w:tc>
        <w:tc>
          <w:tcPr>
            <w:tcW w:type="dxa" w:w="166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D1B2E"/>
                <w:sz w:val="19"/>
                <w:szCs w:val="19"/>
              </w:rPr>
              <w:t xml:space="preserve">~USD 280</w:t>
            </w:r>
          </w:p>
        </w:tc>
      </w:tr>
      <w:tr>
        <w:tc>
          <w:tcPr>
            <w:tcW w:type="dxa" w:w="17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2A2A2A"/>
                <w:sz w:val="19"/>
                <w:szCs w:val="19"/>
              </w:rPr>
              <w:t xml:space="preserve">Tartisan Nickel (ON)</w:t>
            </w:r>
          </w:p>
        </w:tc>
        <w:tc>
          <w:tcPr>
            <w:tcW w:type="dxa" w:w="13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2A2A2A"/>
                <w:sz w:val="19"/>
                <w:szCs w:val="19"/>
              </w:rPr>
              <w:t xml:space="preserve">Private</w:t>
            </w:r>
          </w:p>
        </w:tc>
        <w:tc>
          <w:tcPr>
            <w:tcW w:type="dxa" w:w="56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2A2A2A"/>
                <w:sz w:val="19"/>
                <w:szCs w:val="19"/>
              </w:rPr>
              <w:t xml:space="preserve">2021</w:t>
            </w:r>
          </w:p>
        </w:tc>
        <w:tc>
          <w:tcPr>
            <w:tcW w:type="dxa" w:w="10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2A2A2A"/>
                <w:sz w:val="19"/>
                <w:szCs w:val="19"/>
              </w:rPr>
              <w:t xml:space="preserve">Early expl.</w:t>
            </w:r>
          </w:p>
        </w:tc>
        <w:tc>
          <w:tcPr>
            <w:tcW w:type="dxa" w:w="56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B3A6B"/>
                <w:sz w:val="19"/>
                <w:szCs w:val="19"/>
              </w:rPr>
              <w:t xml:space="preserve">—</w:t>
            </w:r>
          </w:p>
        </w:tc>
        <w:tc>
          <w:tcPr>
            <w:tcW w:type="dxa" w:w="56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2A2A2A"/>
                <w:sz w:val="19"/>
                <w:szCs w:val="19"/>
              </w:rPr>
              <w:t xml:space="preserve">—</w:t>
            </w:r>
          </w:p>
        </w:tc>
        <w:tc>
          <w:tcPr>
            <w:tcW w:type="dxa" w:w="76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2A2A2A"/>
                <w:sz w:val="19"/>
                <w:szCs w:val="19"/>
              </w:rPr>
              <w:t xml:space="preserve">—</w:t>
            </w:r>
          </w:p>
        </w:tc>
        <w:tc>
          <w:tcPr>
            <w:tcW w:type="dxa" w:w="126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2D6A45"/>
                <w:sz w:val="19"/>
                <w:szCs w:val="19"/>
              </w:rPr>
              <w:t xml:space="preserve">CAD 8M</w:t>
            </w:r>
          </w:p>
        </w:tc>
        <w:tc>
          <w:tcPr>
            <w:tcW w:type="dxa" w:w="166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D1B2E"/>
                <w:sz w:val="19"/>
                <w:szCs w:val="19"/>
              </w:rPr>
              <w:t xml:space="preserve">Discovery premium</w:t>
            </w:r>
          </w:p>
        </w:tc>
      </w:tr>
      <w:tr>
        <w:tc>
          <w:tcPr>
            <w:tcW w:type="dxa" w:w="17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2A2A2A"/>
                <w:sz w:val="19"/>
                <w:szCs w:val="19"/>
              </w:rPr>
              <w:t xml:space="preserve">Musselwhite adj. Ni</w:t>
            </w:r>
          </w:p>
        </w:tc>
        <w:tc>
          <w:tcPr>
            <w:tcW w:type="dxa" w:w="13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2A2A2A"/>
                <w:sz w:val="19"/>
                <w:szCs w:val="19"/>
              </w:rPr>
              <w:t xml:space="preserve">Various</w:t>
            </w:r>
          </w:p>
        </w:tc>
        <w:tc>
          <w:tcPr>
            <w:tcW w:type="dxa" w:w="56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2A2A2A"/>
                <w:sz w:val="19"/>
                <w:szCs w:val="19"/>
              </w:rPr>
              <w:t xml:space="preserve">2019–23</w:t>
            </w:r>
          </w:p>
        </w:tc>
        <w:tc>
          <w:tcPr>
            <w:tcW w:type="dxa" w:w="10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2A2A2A"/>
                <w:sz w:val="19"/>
                <w:szCs w:val="19"/>
              </w:rPr>
              <w:t xml:space="preserve">Early expl.</w:t>
            </w:r>
          </w:p>
        </w:tc>
        <w:tc>
          <w:tcPr>
            <w:tcW w:type="dxa" w:w="56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B3A6B"/>
                <w:sz w:val="19"/>
                <w:szCs w:val="19"/>
              </w:rPr>
              <w:t xml:space="preserve">~0.8%</w:t>
            </w:r>
          </w:p>
        </w:tc>
        <w:tc>
          <w:tcPr>
            <w:tcW w:type="dxa" w:w="56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2A2A2A"/>
                <w:sz w:val="19"/>
                <w:szCs w:val="19"/>
              </w:rPr>
              <w:t xml:space="preserve">—</w:t>
            </w:r>
          </w:p>
        </w:tc>
        <w:tc>
          <w:tcPr>
            <w:tcW w:type="dxa" w:w="76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2A2A2A"/>
                <w:sz w:val="19"/>
                <w:szCs w:val="19"/>
              </w:rPr>
              <w:t xml:space="preserve">—</w:t>
            </w:r>
          </w:p>
        </w:tc>
        <w:tc>
          <w:tcPr>
            <w:tcW w:type="dxa" w:w="126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2D6A45"/>
                <w:sz w:val="19"/>
                <w:szCs w:val="19"/>
              </w:rPr>
              <w:t xml:space="preserve">CAD 2–12M</w:t>
            </w:r>
          </w:p>
        </w:tc>
        <w:tc>
          <w:tcPr>
            <w:tcW w:type="dxa" w:w="166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D1B2E"/>
                <w:sz w:val="19"/>
                <w:szCs w:val="19"/>
              </w:rPr>
              <w:t xml:space="preserve">USD 150–500/t NiEq</w:t>
            </w:r>
          </w:p>
        </w:tc>
      </w:tr>
      <w:tr>
        <w:tc>
          <w:tcPr>
            <w:tcW w:type="dxa" w:w="17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2A2A2A"/>
                <w:sz w:val="19"/>
                <w:szCs w:val="19"/>
              </w:rPr>
              <w:t xml:space="preserve">Balmoral (Ni-Cu-PGE)</w:t>
            </w:r>
          </w:p>
        </w:tc>
        <w:tc>
          <w:tcPr>
            <w:tcW w:type="dxa" w:w="13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2A2A2A"/>
                <w:sz w:val="19"/>
                <w:szCs w:val="19"/>
              </w:rPr>
              <w:t xml:space="preserve">Wallbridge Mining</w:t>
            </w:r>
          </w:p>
        </w:tc>
        <w:tc>
          <w:tcPr>
            <w:tcW w:type="dxa" w:w="56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2A2A2A"/>
                <w:sz w:val="19"/>
                <w:szCs w:val="19"/>
              </w:rPr>
              <w:t xml:space="preserve">2020</w:t>
            </w:r>
          </w:p>
        </w:tc>
        <w:tc>
          <w:tcPr>
            <w:tcW w:type="dxa" w:w="10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2A2A2A"/>
                <w:sz w:val="19"/>
                <w:szCs w:val="19"/>
              </w:rPr>
              <w:t xml:space="preserve">Resource</w:t>
            </w:r>
          </w:p>
        </w:tc>
        <w:tc>
          <w:tcPr>
            <w:tcW w:type="dxa" w:w="56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B3A6B"/>
                <w:sz w:val="19"/>
                <w:szCs w:val="19"/>
              </w:rPr>
              <w:t xml:space="preserve">0.56%</w:t>
            </w:r>
          </w:p>
        </w:tc>
        <w:tc>
          <w:tcPr>
            <w:tcW w:type="dxa" w:w="56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2A2A2A"/>
                <w:sz w:val="19"/>
                <w:szCs w:val="19"/>
              </w:rPr>
              <w:t xml:space="preserve">0.13%</w:t>
            </w:r>
          </w:p>
        </w:tc>
        <w:tc>
          <w:tcPr>
            <w:tcW w:type="dxa" w:w="76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2A2A2A"/>
                <w:sz w:val="19"/>
                <w:szCs w:val="19"/>
              </w:rPr>
              <w:t xml:space="preserve">~50</w:t>
            </w:r>
          </w:p>
        </w:tc>
        <w:tc>
          <w:tcPr>
            <w:tcW w:type="dxa" w:w="126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2D6A45"/>
                <w:sz w:val="19"/>
                <w:szCs w:val="19"/>
              </w:rPr>
              <w:t xml:space="preserve">CAD $57M total</w:t>
            </w:r>
          </w:p>
        </w:tc>
        <w:tc>
          <w:tcPr>
            <w:tcW w:type="dxa" w:w="166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D1B2E"/>
                <w:sz w:val="19"/>
                <w:szCs w:val="19"/>
              </w:rPr>
              <w:t xml:space="preserve">~USD 100</w:t>
            </w:r>
          </w:p>
        </w:tc>
      </w:tr>
    </w:tbl>
    <w:p>
      <w:pPr>
        <w:spacing w:after="120"/>
      </w:pPr>
    </w:p>
    <w:p>
      <w:pPr>
        <w:spacing w:after="180"/>
      </w:pPr>
      <w:r>
        <w:rPr>
          <w:rFonts w:ascii="Calibri" w:cs="Calibri" w:eastAsia="Calibri" w:hAnsi="Calibri"/>
          <w:i/>
          <w:iCs/>
          <w:color w:val="4A5E7A"/>
          <w:sz w:val="17"/>
          <w:szCs w:val="17"/>
        </w:rPr>
        <w:t xml:space="preserve">(*) KGHM acquisition of Quadra FNX Mining (2012, CAD 2.86B) and Vale acquisition of Inco (2006, CAD 19.1B) are total deal values for diversified mining companies with multiple global assets. Per-property NiEq values are illustrative estimates. Source: public company press releases, SEDAR/EDGAR filings.</w:t>
      </w:r>
    </w:p>
    <w:p>
      <w:pPr>
        <w:pStyle w:val="Heading1"/>
        <w:spacing w:after="180" w:before="360"/>
      </w:pPr>
      <w:r>
        <w:rPr>
          <w:rFonts w:ascii="Georgia" w:cs="Georgia" w:eastAsia="Georgia" w:hAnsi="Georgia"/>
          <w:b/>
          <w:bCs/>
          <w:color w:val="0D1B2E"/>
          <w:sz w:val="32"/>
          <w:szCs w:val="32"/>
        </w:rPr>
        <w:t xml:space="preserve">Early-Stage Option and Purchase Transactions</w:t>
      </w:r>
    </w:p>
    <w:p>
      <w:pPr>
        <w:spacing w:after="140" w:line="320"/>
        <w:jc w:val="both"/>
      </w:pPr>
      <w:r>
        <w:rPr>
          <w:rFonts w:ascii="Calibri" w:cs="Calibri" w:eastAsia="Calibri" w:hAnsi="Calibri"/>
          <w:color w:val="2A2A2A"/>
          <w:sz w:val="22"/>
          <w:szCs w:val="22"/>
        </w:rPr>
        <w:t xml:space="preserve">The most directly comparable precedents for a Nairn transaction are early-stage option or purchase agreements for Ontario nickel exploration properties at a similar level of advancement: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1600"/>
        <w:gridCol w:w="900"/>
        <w:gridCol w:w="2260"/>
        <w:gridCol w:w="2400"/>
      </w:tblGrid>
      <w:tr>
        <w:trPr>
          <w:tblHeader/>
        </w:trPr>
        <w:tc>
          <w:tcPr>
            <w:tcW w:type="dxa" w:w="22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1B3A6B" w:val="clear"/>
            <w:tcMar>
              <w:top w:type="dxa" w:w="110"/>
              <w:left w:type="dxa" w:w="130"/>
              <w:bottom w:type="dxa" w:w="110"/>
              <w:right w:type="dxa" w:w="13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Property</w:t>
            </w:r>
          </w:p>
        </w:tc>
        <w:tc>
          <w:tcPr>
            <w:tcW w:type="dxa" w:w="16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1B3A6B" w:val="clear"/>
            <w:tcMar>
              <w:top w:type="dxa" w:w="110"/>
              <w:left w:type="dxa" w:w="130"/>
              <w:bottom w:type="dxa" w:w="110"/>
              <w:right w:type="dxa" w:w="13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Location</w:t>
            </w:r>
          </w:p>
        </w:tc>
        <w:tc>
          <w:tcPr>
            <w:tcW w:type="dxa" w:w="9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1B3A6B" w:val="clear"/>
            <w:tcMar>
              <w:top w:type="dxa" w:w="110"/>
              <w:left w:type="dxa" w:w="130"/>
              <w:bottom w:type="dxa" w:w="110"/>
              <w:right w:type="dxa" w:w="13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Year</w:t>
            </w:r>
          </w:p>
        </w:tc>
        <w:tc>
          <w:tcPr>
            <w:tcW w:type="dxa" w:w="226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1B3A6B" w:val="clear"/>
            <w:tcMar>
              <w:top w:type="dxa" w:w="110"/>
              <w:left w:type="dxa" w:w="130"/>
              <w:bottom w:type="dxa" w:w="110"/>
              <w:right w:type="dxa" w:w="13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Deal Terms</w:t>
            </w:r>
          </w:p>
        </w:tc>
        <w:tc>
          <w:tcPr>
            <w:tcW w:type="dxa" w:w="24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1B3A6B" w:val="clear"/>
            <w:tcMar>
              <w:top w:type="dxa" w:w="110"/>
              <w:left w:type="dxa" w:w="130"/>
              <w:bottom w:type="dxa" w:w="110"/>
              <w:right w:type="dxa" w:w="13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Context</w:t>
            </w:r>
          </w:p>
        </w:tc>
      </w:tr>
      <w:tr>
        <w:tc>
          <w:tcPr>
            <w:tcW w:type="dxa" w:w="22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2A2A2A"/>
                <w:sz w:val="19"/>
                <w:szCs w:val="19"/>
              </w:rPr>
              <w:t xml:space="preserve">Generic Ontario Ni-Cu SOD target (early expl.)</w:t>
            </w:r>
          </w:p>
        </w:tc>
        <w:tc>
          <w:tcPr>
            <w:tcW w:type="dxa" w:w="16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2A2A2A"/>
                <w:sz w:val="19"/>
                <w:szCs w:val="19"/>
              </w:rPr>
              <w:t xml:space="preserve">Sudbury area</w:t>
            </w:r>
          </w:p>
        </w:tc>
        <w:tc>
          <w:tcPr>
            <w:tcW w:type="dxa" w:w="9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2A2A2A"/>
                <w:sz w:val="19"/>
                <w:szCs w:val="19"/>
              </w:rPr>
              <w:t xml:space="preserve">2021–24</w:t>
            </w:r>
          </w:p>
        </w:tc>
        <w:tc>
          <w:tcPr>
            <w:tcW w:type="dxa" w:w="226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2D6A45"/>
                <w:sz w:val="19"/>
                <w:szCs w:val="19"/>
              </w:rPr>
              <w:t xml:space="preserve">Option: CAD 1–3M cash + CAD 3–8M exploration commitment</w:t>
            </w:r>
          </w:p>
        </w:tc>
        <w:tc>
          <w:tcPr>
            <w:tcW w:type="dxa" w:w="24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4A5E7A"/>
                <w:sz w:val="17"/>
                <w:szCs w:val="17"/>
              </w:rPr>
              <w:t xml:space="preserve">Pre-resource; historical workings + geophysics</w:t>
            </w:r>
          </w:p>
        </w:tc>
      </w:tr>
      <w:tr>
        <w:tc>
          <w:tcPr>
            <w:tcW w:type="dxa" w:w="22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2A2A2A"/>
                <w:sz w:val="19"/>
                <w:szCs w:val="19"/>
              </w:rPr>
              <w:t xml:space="preserve">Generic Sudbury-area claim block (IP anomalies)</w:t>
            </w:r>
          </w:p>
        </w:tc>
        <w:tc>
          <w:tcPr>
            <w:tcW w:type="dxa" w:w="16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2A2A2A"/>
                <w:sz w:val="19"/>
                <w:szCs w:val="19"/>
              </w:rPr>
              <w:t xml:space="preserve">Sudbury Basin</w:t>
            </w:r>
          </w:p>
        </w:tc>
        <w:tc>
          <w:tcPr>
            <w:tcW w:type="dxa" w:w="9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2A2A2A"/>
                <w:sz w:val="19"/>
                <w:szCs w:val="19"/>
              </w:rPr>
              <w:t xml:space="preserve">2022–24</w:t>
            </w:r>
          </w:p>
        </w:tc>
        <w:tc>
          <w:tcPr>
            <w:tcW w:type="dxa" w:w="226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2D6A45"/>
                <w:sz w:val="19"/>
                <w:szCs w:val="19"/>
              </w:rPr>
              <w:t xml:space="preserve">Option: CAD 500k–2M + 15–20% carry on Phase 1</w:t>
            </w:r>
          </w:p>
        </w:tc>
        <w:tc>
          <w:tcPr>
            <w:tcW w:type="dxa" w:w="24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4A5E7A"/>
                <w:sz w:val="17"/>
                <w:szCs w:val="17"/>
              </w:rPr>
              <w:t xml:space="preserve">Comparable claim size, undrilled</w:t>
            </w:r>
          </w:p>
        </w:tc>
      </w:tr>
      <w:tr>
        <w:tc>
          <w:tcPr>
            <w:tcW w:type="dxa" w:w="22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2A2A2A"/>
                <w:sz w:val="19"/>
                <w:szCs w:val="19"/>
              </w:rPr>
              <w:t xml:space="preserve">Worthington Dyke trend exploration property</w:t>
            </w:r>
          </w:p>
        </w:tc>
        <w:tc>
          <w:tcPr>
            <w:tcW w:type="dxa" w:w="16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2A2A2A"/>
                <w:sz w:val="19"/>
                <w:szCs w:val="19"/>
              </w:rPr>
              <w:t xml:space="preserve">SW Sudbury</w:t>
            </w:r>
          </w:p>
        </w:tc>
        <w:tc>
          <w:tcPr>
            <w:tcW w:type="dxa" w:w="9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2A2A2A"/>
                <w:sz w:val="19"/>
                <w:szCs w:val="19"/>
              </w:rPr>
              <w:t xml:space="preserve">2020–23</w:t>
            </w:r>
          </w:p>
        </w:tc>
        <w:tc>
          <w:tcPr>
            <w:tcW w:type="dxa" w:w="226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2D6A45"/>
                <w:sz w:val="19"/>
                <w:szCs w:val="19"/>
              </w:rPr>
              <w:t xml:space="preserve">Outright sale: CAD 1.5–5M for 15–50 km² block</w:t>
            </w:r>
          </w:p>
        </w:tc>
        <w:tc>
          <w:tcPr>
            <w:tcW w:type="dxa" w:w="24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4A5E7A"/>
                <w:sz w:val="17"/>
                <w:szCs w:val="17"/>
              </w:rPr>
              <w:t xml:space="preserve">Based on offset dyke prospectivity premium</w:t>
            </w:r>
          </w:p>
        </w:tc>
      </w:tr>
    </w:tbl>
    <w:p>
      <w:pPr>
        <w:spacing w:after="120"/>
      </w:pPr>
    </w:p>
    <w:p>
      <w:pPr>
        <w:spacing w:after="180"/>
      </w:pPr>
      <w:r>
        <w:rPr>
          <w:rFonts w:ascii="Calibri" w:cs="Calibri" w:eastAsia="Calibri" w:hAnsi="Calibri"/>
          <w:i/>
          <w:iCs/>
          <w:color w:val="4A5E7A"/>
          <w:sz w:val="17"/>
          <w:szCs w:val="17"/>
        </w:rPr>
        <w:t xml:space="preserve">Early-stage Sudbury-area nickel claims with historical workings, geophysical anomalies, and documented sulphide mineralisation have transacted in the CAD 1–8 million range on option-to-purchase structures or outright for CAD 2–10 million. Nairn's scale (36 km², 148 claims), systematic assembly, and multiple high-grade showings place it at the upper end of this range.</w:t>
      </w:r>
    </w:p>
    <w:p>
      <w:pPr>
        <w:pStyle w:val="Heading1"/>
        <w:spacing w:after="180" w:before="360"/>
      </w:pPr>
      <w:r>
        <w:rPr>
          <w:rFonts w:ascii="Georgia" w:cs="Georgia" w:eastAsia="Georgia" w:hAnsi="Georgia"/>
          <w:b/>
          <w:bCs/>
          <w:color w:val="0D1B2E"/>
          <w:sz w:val="32"/>
          <w:szCs w:val="32"/>
        </w:rPr>
        <w:t xml:space="preserve">Listed Junior Company Valuations</w:t>
      </w:r>
    </w:p>
    <w:p>
      <w:pPr>
        <w:spacing w:after="140" w:line="320"/>
        <w:jc w:val="both"/>
      </w:pPr>
      <w:r>
        <w:rPr>
          <w:rFonts w:ascii="Calibri" w:cs="Calibri" w:eastAsia="Calibri" w:hAnsi="Calibri"/>
          <w:color w:val="2A2A2A"/>
          <w:sz w:val="22"/>
          <w:szCs w:val="22"/>
        </w:rPr>
        <w:t xml:space="preserve">The following table compares current and recent market valuations of publicly listed junior nickel exploration companies at various stages, providing a benchmark for the potential market capitalisation of a company that acquires Nairn and makes a discovery: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1400"/>
        <w:gridCol w:w="1240"/>
        <w:gridCol w:w="1000"/>
        <w:gridCol w:w="1060"/>
        <w:gridCol w:w="2460"/>
      </w:tblGrid>
      <w:tr>
        <w:trPr>
          <w:tblHeader/>
        </w:trPr>
        <w:tc>
          <w:tcPr>
            <w:tcW w:type="dxa" w:w="22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1B3A6B" w:val="clear"/>
            <w:tcMar>
              <w:top w:type="dxa" w:w="110"/>
              <w:left w:type="dxa" w:w="130"/>
              <w:bottom w:type="dxa" w:w="110"/>
              <w:right w:type="dxa" w:w="13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Company / Project</w:t>
            </w:r>
          </w:p>
        </w:tc>
        <w:tc>
          <w:tcPr>
            <w:tcW w:type="dxa" w:w="14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1B3A6B" w:val="clear"/>
            <w:tcMar>
              <w:top w:type="dxa" w:w="110"/>
              <w:left w:type="dxa" w:w="130"/>
              <w:bottom w:type="dxa" w:w="110"/>
              <w:right w:type="dxa" w:w="13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Stage</w:t>
            </w:r>
          </w:p>
        </w:tc>
        <w:tc>
          <w:tcPr>
            <w:tcW w:type="dxa" w:w="12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1B3A6B" w:val="clear"/>
            <w:tcMar>
              <w:top w:type="dxa" w:w="110"/>
              <w:left w:type="dxa" w:w="130"/>
              <w:bottom w:type="dxa" w:w="110"/>
              <w:right w:type="dxa" w:w="13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NiEq Grade</w:t>
            </w:r>
          </w:p>
        </w:tc>
        <w:tc>
          <w:tcPr>
            <w:tcW w:type="dxa" w:w="10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1B3A6B" w:val="clear"/>
            <w:tcMar>
              <w:top w:type="dxa" w:w="110"/>
              <w:left w:type="dxa" w:w="130"/>
              <w:bottom w:type="dxa" w:w="110"/>
              <w:right w:type="dxa" w:w="13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Mt</w:t>
            </w:r>
          </w:p>
        </w:tc>
        <w:tc>
          <w:tcPr>
            <w:tcW w:type="dxa" w:w="106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1B3A6B" w:val="clear"/>
            <w:tcMar>
              <w:top w:type="dxa" w:w="110"/>
              <w:left w:type="dxa" w:w="130"/>
              <w:bottom w:type="dxa" w:w="110"/>
              <w:right w:type="dxa" w:w="13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EV / NiEq t</w:t>
            </w:r>
          </w:p>
        </w:tc>
        <w:tc>
          <w:tcPr>
            <w:tcW w:type="dxa" w:w="246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1B3A6B" w:val="clear"/>
            <w:tcMar>
              <w:top w:type="dxa" w:w="110"/>
              <w:left w:type="dxa" w:w="130"/>
              <w:bottom w:type="dxa" w:w="110"/>
              <w:right w:type="dxa" w:w="13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Market Context</w:t>
            </w:r>
          </w:p>
        </w:tc>
      </w:tr>
      <w:tr>
        <w:tc>
          <w:tcPr>
            <w:tcW w:type="dxa" w:w="22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D1B2E"/>
                <w:sz w:val="19"/>
                <w:szCs w:val="19"/>
              </w:rPr>
              <w:t xml:space="preserve">Magna Mining (Sudbury)</w:t>
            </w:r>
          </w:p>
        </w:tc>
        <w:tc>
          <w:tcPr>
            <w:tcW w:type="dxa" w:w="14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2A2A2A"/>
                <w:sz w:val="19"/>
                <w:szCs w:val="19"/>
              </w:rPr>
              <w:t xml:space="preserve">PEA</w:t>
            </w:r>
          </w:p>
        </w:tc>
        <w:tc>
          <w:tcPr>
            <w:tcW w:type="dxa" w:w="12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2A2A2A"/>
                <w:sz w:val="19"/>
                <w:szCs w:val="19"/>
              </w:rPr>
              <w:t xml:space="preserve">~1.8% NiEq</w:t>
            </w:r>
          </w:p>
        </w:tc>
        <w:tc>
          <w:tcPr>
            <w:tcW w:type="dxa" w:w="10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2A2A2A"/>
                <w:sz w:val="19"/>
                <w:szCs w:val="19"/>
              </w:rPr>
              <w:t xml:space="preserve">~7.5 Mt</w:t>
            </w:r>
          </w:p>
        </w:tc>
        <w:tc>
          <w:tcPr>
            <w:tcW w:type="dxa" w:w="106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2D6A45"/>
                <w:sz w:val="19"/>
                <w:szCs w:val="19"/>
              </w:rPr>
              <w:t xml:space="preserve">USD 280/t</w:t>
            </w:r>
          </w:p>
        </w:tc>
        <w:tc>
          <w:tcPr>
            <w:tcW w:type="dxa" w:w="246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4A5E7A"/>
                <w:sz w:val="17"/>
                <w:szCs w:val="17"/>
              </w:rPr>
              <w:t xml:space="preserve">Former Copper Cliff South / Denison assets; listed TSX-V</w:t>
            </w:r>
          </w:p>
        </w:tc>
      </w:tr>
      <w:tr>
        <w:tc>
          <w:tcPr>
            <w:tcW w:type="dxa" w:w="22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D1B2E"/>
                <w:sz w:val="19"/>
                <w:szCs w:val="19"/>
              </w:rPr>
              <w:t xml:space="preserve">Canada Nickel (Crawford)</w:t>
            </w:r>
          </w:p>
        </w:tc>
        <w:tc>
          <w:tcPr>
            <w:tcW w:type="dxa" w:w="14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2A2A2A"/>
                <w:sz w:val="19"/>
                <w:szCs w:val="19"/>
              </w:rPr>
              <w:t xml:space="preserve">PFS</w:t>
            </w:r>
          </w:p>
        </w:tc>
        <w:tc>
          <w:tcPr>
            <w:tcW w:type="dxa" w:w="12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2A2A2A"/>
                <w:sz w:val="19"/>
                <w:szCs w:val="19"/>
              </w:rPr>
              <w:t xml:space="preserve">~0.32% NiEq</w:t>
            </w:r>
          </w:p>
        </w:tc>
        <w:tc>
          <w:tcPr>
            <w:tcW w:type="dxa" w:w="10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2A2A2A"/>
                <w:sz w:val="19"/>
                <w:szCs w:val="19"/>
              </w:rPr>
              <w:t xml:space="preserve">~1,800 Mt</w:t>
            </w:r>
          </w:p>
        </w:tc>
        <w:tc>
          <w:tcPr>
            <w:tcW w:type="dxa" w:w="106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2D6A45"/>
                <w:sz w:val="19"/>
                <w:szCs w:val="19"/>
              </w:rPr>
              <w:t xml:space="preserve">USD 35/t</w:t>
            </w:r>
          </w:p>
        </w:tc>
        <w:tc>
          <w:tcPr>
            <w:tcW w:type="dxa" w:w="246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4A5E7A"/>
                <w:sz w:val="17"/>
                <w:szCs w:val="17"/>
              </w:rPr>
              <w:t xml:space="preserve">Large low-grade dissem. deposit; different model</w:t>
            </w:r>
          </w:p>
        </w:tc>
      </w:tr>
      <w:tr>
        <w:tc>
          <w:tcPr>
            <w:tcW w:type="dxa" w:w="22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D1B2E"/>
                <w:sz w:val="19"/>
                <w:szCs w:val="19"/>
              </w:rPr>
              <w:t xml:space="preserve">Tartisan Nickel (Kenora)</w:t>
            </w:r>
          </w:p>
        </w:tc>
        <w:tc>
          <w:tcPr>
            <w:tcW w:type="dxa" w:w="14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2A2A2A"/>
                <w:sz w:val="19"/>
                <w:szCs w:val="19"/>
              </w:rPr>
              <w:t xml:space="preserve">Expl.</w:t>
            </w:r>
          </w:p>
        </w:tc>
        <w:tc>
          <w:tcPr>
            <w:tcW w:type="dxa" w:w="12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2A2A2A"/>
                <w:sz w:val="19"/>
                <w:szCs w:val="19"/>
              </w:rPr>
              <w:t xml:space="preserve">~1.1% NiEq</w:t>
            </w:r>
          </w:p>
        </w:tc>
        <w:tc>
          <w:tcPr>
            <w:tcW w:type="dxa" w:w="10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2A2A2A"/>
                <w:sz w:val="19"/>
                <w:szCs w:val="19"/>
              </w:rPr>
              <w:t xml:space="preserve">—</w:t>
            </w:r>
          </w:p>
        </w:tc>
        <w:tc>
          <w:tcPr>
            <w:tcW w:type="dxa" w:w="106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2D6A45"/>
                <w:sz w:val="19"/>
                <w:szCs w:val="19"/>
              </w:rPr>
              <w:t xml:space="preserve">n/a</w:t>
            </w:r>
          </w:p>
        </w:tc>
        <w:tc>
          <w:tcPr>
            <w:tcW w:type="dxa" w:w="246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4A5E7A"/>
                <w:sz w:val="17"/>
                <w:szCs w:val="17"/>
              </w:rPr>
              <w:t xml:space="preserve">Junior exploration; Ontario; CAD 5–15M market cap</w:t>
            </w:r>
          </w:p>
        </w:tc>
      </w:tr>
      <w:tr>
        <w:tc>
          <w:tcPr>
            <w:tcW w:type="dxa" w:w="22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D1B2E"/>
                <w:sz w:val="19"/>
                <w:szCs w:val="19"/>
              </w:rPr>
              <w:t xml:space="preserve">Balmoral Resources</w:t>
            </w:r>
          </w:p>
        </w:tc>
        <w:tc>
          <w:tcPr>
            <w:tcW w:type="dxa" w:w="14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2A2A2A"/>
                <w:sz w:val="19"/>
                <w:szCs w:val="19"/>
              </w:rPr>
              <w:t xml:space="preserve">Resource</w:t>
            </w:r>
          </w:p>
        </w:tc>
        <w:tc>
          <w:tcPr>
            <w:tcW w:type="dxa" w:w="12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2A2A2A"/>
                <w:sz w:val="19"/>
                <w:szCs w:val="19"/>
              </w:rPr>
              <w:t xml:space="preserve">~0.7% NiEq</w:t>
            </w:r>
          </w:p>
        </w:tc>
        <w:tc>
          <w:tcPr>
            <w:tcW w:type="dxa" w:w="10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2A2A2A"/>
                <w:sz w:val="19"/>
                <w:szCs w:val="19"/>
              </w:rPr>
              <w:t xml:space="preserve">~50 Mt</w:t>
            </w:r>
          </w:p>
        </w:tc>
        <w:tc>
          <w:tcPr>
            <w:tcW w:type="dxa" w:w="106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2D6A45"/>
                <w:sz w:val="19"/>
                <w:szCs w:val="19"/>
              </w:rPr>
              <w:t xml:space="preserve">USD 100/t</w:t>
            </w:r>
          </w:p>
        </w:tc>
        <w:tc>
          <w:tcPr>
            <w:tcW w:type="dxa" w:w="246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4A5E7A"/>
                <w:sz w:val="17"/>
                <w:szCs w:val="17"/>
              </w:rPr>
              <w:t xml:space="preserve">Quebec nickel; lower grade; acquired by Wallbridge</w:t>
            </w:r>
          </w:p>
        </w:tc>
      </w:tr>
      <w:tr>
        <w:tc>
          <w:tcPr>
            <w:tcW w:type="dxa" w:w="22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0D1B2E"/>
                <w:sz w:val="19"/>
                <w:szCs w:val="19"/>
              </w:rPr>
              <w:t xml:space="preserve">FPX Nickel (BC)</w:t>
            </w:r>
          </w:p>
        </w:tc>
        <w:tc>
          <w:tcPr>
            <w:tcW w:type="dxa" w:w="14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2A2A2A"/>
                <w:sz w:val="19"/>
                <w:szCs w:val="19"/>
              </w:rPr>
              <w:t xml:space="preserve">PEA</w:t>
            </w:r>
          </w:p>
        </w:tc>
        <w:tc>
          <w:tcPr>
            <w:tcW w:type="dxa" w:w="12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2A2A2A"/>
                <w:sz w:val="19"/>
                <w:szCs w:val="19"/>
              </w:rPr>
              <w:t xml:space="preserve">~0.28% NiEq</w:t>
            </w:r>
          </w:p>
        </w:tc>
        <w:tc>
          <w:tcPr>
            <w:tcW w:type="dxa" w:w="10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2A2A2A"/>
                <w:sz w:val="19"/>
                <w:szCs w:val="19"/>
              </w:rPr>
              <w:t xml:space="preserve">~1,800 Mt</w:t>
            </w:r>
          </w:p>
        </w:tc>
        <w:tc>
          <w:tcPr>
            <w:tcW w:type="dxa" w:w="106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2D6A45"/>
                <w:sz w:val="19"/>
                <w:szCs w:val="19"/>
              </w:rPr>
              <w:t xml:space="preserve">USD 20/t</w:t>
            </w:r>
          </w:p>
        </w:tc>
        <w:tc>
          <w:tcPr>
            <w:tcW w:type="dxa" w:w="246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4A5E7A"/>
                <w:sz w:val="17"/>
                <w:szCs w:val="17"/>
              </w:rPr>
              <w:t xml:space="preserve">Awaruite-type; different deposit model, lower grade</w:t>
            </w:r>
          </w:p>
        </w:tc>
      </w:tr>
      <w:tr>
        <w:tc>
          <w:tcPr>
            <w:tcW w:type="dxa" w:w="22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1B3A6B"/>
                <w:sz w:val="19"/>
                <w:szCs w:val="19"/>
              </w:rPr>
              <w:t xml:space="preserve">Nairn (implied SOD base case)</w:t>
            </w:r>
          </w:p>
        </w:tc>
        <w:tc>
          <w:tcPr>
            <w:tcW w:type="dxa" w:w="14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2A2A2A"/>
                <w:sz w:val="19"/>
                <w:szCs w:val="19"/>
              </w:rPr>
              <w:t xml:space="preserve">Expl. target</w:t>
            </w:r>
          </w:p>
        </w:tc>
        <w:tc>
          <w:tcPr>
            <w:tcW w:type="dxa" w:w="12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2A2A2A"/>
                <w:sz w:val="19"/>
                <w:szCs w:val="19"/>
              </w:rPr>
              <w:t xml:space="preserve">~1.57% NiEq</w:t>
            </w:r>
          </w:p>
        </w:tc>
        <w:tc>
          <w:tcPr>
            <w:tcW w:type="dxa" w:w="10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2A2A2A"/>
                <w:sz w:val="19"/>
                <w:szCs w:val="19"/>
              </w:rPr>
              <w:t xml:space="preserve">5 Mt (hyp.)</w:t>
            </w:r>
          </w:p>
        </w:tc>
        <w:tc>
          <w:tcPr>
            <w:tcW w:type="dxa" w:w="106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2D6A45"/>
                <w:sz w:val="19"/>
                <w:szCs w:val="19"/>
              </w:rPr>
              <w:t xml:space="preserve">USD 300–500/t</w:t>
            </w:r>
          </w:p>
        </w:tc>
        <w:tc>
          <w:tcPr>
            <w:tcW w:type="dxa" w:w="246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1B3A6B"/>
                <w:sz w:val="17"/>
                <w:szCs w:val="17"/>
              </w:rPr>
              <w:t xml:space="preserve">At comparable Sudbury SOD junior valuation</w:t>
            </w:r>
          </w:p>
        </w:tc>
      </w:tr>
    </w:tbl>
    <w:p>
      <w:pPr>
        <w:spacing w:after="140"/>
      </w:pPr>
    </w:p>
    <w:p>
      <w:pPr>
        <w:pStyle w:val="Heading1"/>
        <w:spacing w:after="180" w:before="360"/>
      </w:pPr>
      <w:r>
        <w:rPr>
          <w:rFonts w:ascii="Georgia" w:cs="Georgia" w:eastAsia="Georgia" w:hAnsi="Georgia"/>
          <w:b/>
          <w:bCs/>
          <w:color w:val="0D1B2E"/>
          <w:sz w:val="32"/>
          <w:szCs w:val="32"/>
        </w:rPr>
        <w:t xml:space="preserve">Key Observations for Nairn Pricing</w:t>
      </w:r>
    </w:p>
    <w:p>
      <w:pPr>
        <w:pStyle w:val="ListParagraph"/>
        <w:numPr>
          <w:ilvl w:val="0"/>
          <w:numId w:val="2"/>
        </w:numPr>
        <w:spacing w:after="100" w:line="300"/>
      </w:pPr>
      <w:r>
        <w:rPr>
          <w:rFonts w:ascii="Calibri" w:cs="Calibri" w:eastAsia="Calibri" w:hAnsi="Calibri"/>
          <w:color w:val="2A2A2A"/>
          <w:sz w:val="22"/>
          <w:szCs w:val="22"/>
        </w:rPr>
        <w:t xml:space="preserve">Sudbury SOD deposits command a premium per-tonne NiEq valuation (USD 200–600/t) relative to low-grade disseminated deposits (USD 20–100/t), reflecting higher metal grades, lower capital intensity, and proximity to existing smelting infrastructure.</w:t>
      </w:r>
    </w:p>
    <w:p>
      <w:pPr>
        <w:pStyle w:val="ListParagraph"/>
        <w:numPr>
          <w:ilvl w:val="0"/>
          <w:numId w:val="2"/>
        </w:numPr>
        <w:spacing w:after="100" w:line="300"/>
      </w:pPr>
      <w:r>
        <w:rPr>
          <w:rFonts w:ascii="Calibri" w:cs="Calibri" w:eastAsia="Calibri" w:hAnsi="Calibri"/>
          <w:color w:val="2A2A2A"/>
          <w:sz w:val="22"/>
          <w:szCs w:val="22"/>
        </w:rPr>
        <w:t xml:space="preserve">Pre-resource Sudbury exploration properties with confirmed sulphide mineralisation, geophysical targets, and historical workings have transacted at CAD 2–10 million in option-to-purchase structures in the 2019–2024 period.</w:t>
      </w:r>
    </w:p>
    <w:p>
      <w:pPr>
        <w:pStyle w:val="ListParagraph"/>
        <w:numPr>
          <w:ilvl w:val="0"/>
          <w:numId w:val="2"/>
        </w:numPr>
        <w:spacing w:after="100" w:line="300"/>
      </w:pPr>
      <w:r>
        <w:rPr>
          <w:rFonts w:ascii="Calibri" w:cs="Calibri" w:eastAsia="Calibri" w:hAnsi="Calibri"/>
          <w:color w:val="2A2A2A"/>
          <w:sz w:val="22"/>
          <w:szCs w:val="22"/>
        </w:rPr>
        <w:t xml:space="preserve">A company that acquires Nairn and defines a 5 Mt @ 1.5% NiEq discovery would, at Sudbury precedent valuations of USD 300–400/t NiEq, command a market capitalisation of approximately CAD 28–54 million — a significant re-rating from an exploration investment of CAD 2–4 million.</w:t>
      </w:r>
    </w:p>
    <w:p>
      <w:pPr>
        <w:pStyle w:val="ListParagraph"/>
        <w:numPr>
          <w:ilvl w:val="0"/>
          <w:numId w:val="2"/>
        </w:numPr>
        <w:spacing w:after="100" w:line="300"/>
      </w:pPr>
      <w:r>
        <w:rPr>
          <w:rFonts w:ascii="Calibri" w:cs="Calibri" w:eastAsia="Calibri" w:hAnsi="Calibri"/>
          <w:color w:val="2A2A2A"/>
          <w:sz w:val="22"/>
          <w:szCs w:val="22"/>
        </w:rPr>
        <w:t xml:space="preserve">The Victoria deposit (KGHM, 14.5 Mt @ 2.5% NiEq, 25 km from Nairn) demonstrates that SOD deposits adjacent to the Worthington and Mystery Dyke corridors can reach world-class scale. A Nairn discovery in the same structural corridor has analogous geological potential.</w:t>
      </w:r>
    </w:p>
    <w:p>
      <w:pPr>
        <w:pStyle w:val="ListParagraph"/>
        <w:numPr>
          <w:ilvl w:val="0"/>
          <w:numId w:val="2"/>
        </w:numPr>
        <w:spacing w:after="100" w:line="300"/>
      </w:pPr>
      <w:r>
        <w:rPr>
          <w:rFonts w:ascii="Calibri" w:cs="Calibri" w:eastAsia="Calibri" w:hAnsi="Calibri"/>
          <w:color w:val="2A2A2A"/>
          <w:sz w:val="22"/>
          <w:szCs w:val="22"/>
        </w:rPr>
        <w:t xml:space="preserve">Flow-through share financing in Ontario typically reduces effective exploration cost by 40–50%, improving risk-adjusted returns for a Canadian-listed acquirer.</w:t>
      </w:r>
    </w:p>
    <w:p>
      <w:pPr>
        <w:spacing w:after="180"/>
      </w:pPr>
    </w:p>
    <w:p>
      <w:pPr>
        <w:pBdr>
          <w:top w:val="single" w:color="1B3A6B" w:sz="8" w:space="6"/>
        </w:pBdr>
        <w:spacing w:after="80" w:before="240"/>
      </w:pPr>
      <w:r>
        <w:rPr>
          <w:rFonts w:ascii="Calibri" w:cs="Calibri" w:eastAsia="Calibri" w:hAnsi="Calibri"/>
          <w:b/>
          <w:bCs/>
          <w:color w:val="4A5E7A"/>
          <w:spacing w:val="60"/>
          <w:sz w:val="18"/>
          <w:szCs w:val="18"/>
        </w:rPr>
        <w:t xml:space="preserve">DISCLAIMER</w:t>
      </w:r>
    </w:p>
    <w:p>
      <w:pPr>
        <w:spacing w:after="80" w:line="280"/>
      </w:pPr>
      <w:r>
        <w:rPr>
          <w:rFonts w:ascii="Calibri" w:cs="Calibri" w:eastAsia="Calibri" w:hAnsi="Calibri"/>
          <w:i/>
          <w:iCs/>
          <w:color w:val="4A5E7A"/>
          <w:sz w:val="18"/>
          <w:szCs w:val="18"/>
        </w:rPr>
        <w:t xml:space="preserve">All transaction values, per-tonne NiEq estimates, and market valuations in this section are approximate, sourced from public disclosures, and presented for context only. They are not a guarantee of value for the Nairn property. No mineral resource or reserve has been estimated at Nairn. This section does not constitute financial advice or a formal valuation report.</w:t>
      </w:r>
    </w:p>
    <w:sectPr>
      <w:headerReference w:type="default" r:id="rId7"/>
      <w:footerReference w:type="default" r:id="rId8"/>
      <w:pgSz w:w="12240" w:h="15840" w:orient="portrait"/>
      <w:pgMar w:top="1100" w:right="1300" w:bottom="1100" w:left="13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4A5E7A"/>
        <w:sz w:val="16"/>
        <w:szCs w:val="16"/>
      </w:rPr>
      <w:t xml:space="preserve">Comparable Transactions  •  Page </w:t>
    </w:r>
    <w:r>
      <w:rPr>
        <w:rFonts w:ascii="Calibri" w:cs="Calibri" w:eastAsia="Calibri" w:hAnsi="Calibri"/>
        <w:color w:val="4A5E7A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Calibri" w:cs="Calibri" w:eastAsia="Calibri" w:hAnsi="Calibri"/>
        <w:color w:val="4A5E7A"/>
        <w:spacing w:val="40"/>
        <w:sz w:val="16"/>
        <w:szCs w:val="16"/>
      </w:rPr>
      <w:t xml:space="preserve">NAIRN Ni Cu PGE PROJECT  •  DATA ROOM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◆"/>
      <w:lvlJc w:val="left"/>
      <w:pPr>
        <w:ind w:left="540" w:hanging="280"/>
      </w:pPr>
      <w:rPr>
        <w:rFonts w:ascii="Calibri" w:cs="Calibri" w:eastAsia="Calibri" w:hAnsi="Calibri"/>
        <w:color w:val="1B3A6B"/>
        <w:sz w:val="16"/>
        <w:szCs w:val="16"/>
      </w:r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280"/>
      </w:pPr>
      <w:rPr>
        <w:rFonts w:ascii="Calibri" w:cs="Calibri" w:eastAsia="Calibri" w:hAnsi="Calibri"/>
        <w:color w:val="4A5E7A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Nairn — Comparable Transactions</dc:title>
  <dc:creator>Nairn Data Room</dc:creator>
  <cp:lastModifiedBy>Un-named</cp:lastModifiedBy>
  <cp:revision>1</cp:revision>
  <dcterms:created xsi:type="dcterms:W3CDTF">2026-05-15T14:29:37.455Z</dcterms:created>
  <dcterms:modified xsi:type="dcterms:W3CDTF">2026-05-15T14:29:37.455Z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