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4A5E7A"/>
          <w:spacing w:val="60"/>
          <w:sz w:val="17"/>
          <w:szCs w:val="17"/>
        </w:rPr>
        <w:t xml:space="preserve">FINANCIAL ANALYSIS — DOCUMENT 04.1  |  DATA ROOM</w:t>
      </w:r>
    </w:p>
    <w:p>
      <w:pPr>
        <w:spacing w:after="20"/>
      </w:pPr>
      <w:r>
        <w:rPr>
          <w:rFonts w:ascii="Georgia" w:cs="Georgia" w:eastAsia="Georgia" w:hAnsi="Georgia"/>
          <w:b/>
          <w:bCs/>
          <w:color w:val="0D1B2E"/>
          <w:sz w:val="48"/>
          <w:szCs w:val="48"/>
        </w:rPr>
        <w:t xml:space="preserve">Indicative Financial Analysis</w:t>
      </w:r>
    </w:p>
    <w:p>
      <w:pPr>
        <w:spacing w:after="40"/>
      </w:pPr>
      <w:r>
        <w:rPr>
          <w:rFonts w:ascii="Georgia" w:cs="Georgia" w:eastAsia="Georgia" w:hAnsi="Georgia"/>
          <w:i/>
          <w:iCs/>
          <w:color w:val="1B3A6B"/>
          <w:sz w:val="26"/>
          <w:szCs w:val="26"/>
        </w:rPr>
        <w:t xml:space="preserve">Nairn Ni Cu PGE Project — Exploration Economics &amp; Scenario Modelling</w:t>
      </w:r>
    </w:p>
    <w:p>
      <w:pPr>
        <w:pBdr>
          <w:bottom w:val="single" w:color="1B3A6B" w:sz="24" w:space="1"/>
        </w:pBdr>
        <w:spacing w:after="240"/>
      </w:pPr>
    </w:p>
    <w:p>
      <w:pPr>
        <w:spacing w:after="160"/>
      </w:pPr>
      <w:r>
        <w:rPr>
          <w:rFonts w:ascii="Calibri" w:cs="Calibri" w:eastAsia="Calibri" w:hAnsi="Calibri"/>
          <w:b/>
          <w:bCs/>
          <w:color w:val="8B2A1A"/>
          <w:spacing w:val="40"/>
          <w:sz w:val="20"/>
          <w:szCs w:val="20"/>
        </w:rPr>
        <w:t xml:space="preserve">IMPORTANT DISCLAIMER</w:t>
      </w:r>
    </w:p>
    <w:p>
      <w:pPr>
        <w:spacing w:after="220" w:line="300"/>
      </w:pPr>
      <w:r>
        <w:rPr>
          <w:rFonts w:ascii="Calibri" w:cs="Calibri" w:eastAsia="Calibri" w:hAnsi="Calibri"/>
          <w:i/>
          <w:iCs/>
          <w:color w:val="4A1010"/>
          <w:sz w:val="20"/>
          <w:szCs w:val="20"/>
        </w:rPr>
        <w:t xml:space="preserve">This document presents indicative, conceptual financial analysis only. It is NOT an NI 43-101 mineral resource estimate, a preliminary economic assessment (PEA), a pre-feasibility study, or a feasibility study. No resource has been defined at Nairn. All scenarios are hypothetical and are provided solely to illustrate the potential economic scale of a discovery relative to exploration cost. This analysis should not be relied upon for investment decisions. Independent due diligence by a qualified person is required.</w:t>
      </w:r>
    </w:p>
    <w:p>
      <w:pPr>
        <w:pBdr>
          <w:bottom w:val="single" w:color="8B2A1A" w:sz="8" w:space="4"/>
        </w:pBdr>
        <w:spacing w:after="240"/>
      </w:pPr>
    </w:p>
    <w:p>
      <w:pPr>
        <w:pStyle w:val="Heading1"/>
        <w:spacing w:after="180" w:before="360"/>
      </w:pPr>
      <w:r>
        <w:rPr>
          <w:rFonts w:ascii="Georgia" w:cs="Georgia" w:eastAsia="Georgia" w:hAnsi="Georgia"/>
          <w:b/>
          <w:bCs/>
          <w:color w:val="0D1B2E"/>
          <w:sz w:val="32"/>
          <w:szCs w:val="32"/>
        </w:rPr>
        <w:t xml:space="preserve">Exploration Budget — Phase 1 to Resource</w:t>
      </w:r>
    </w:p>
    <w:p>
      <w:pPr>
        <w:spacing w:after="140" w:line="320"/>
        <w:jc w:val="both"/>
      </w:pPr>
      <w:r>
        <w:rPr>
          <w:rFonts w:ascii="Calibri" w:cs="Calibri" w:eastAsia="Calibri" w:hAnsi="Calibri"/>
          <w:color w:val="2A2A2A"/>
          <w:sz w:val="22"/>
          <w:szCs w:val="22"/>
        </w:rPr>
        <w:t xml:space="preserve">The following budget outlines the estimated cost to advance the Nairn property from its current early-exploration stage to a maiden NI 43-101 mineral resource estimate. All figures are in Canadian dollars and represent a reasonable range based on current Sudbury-area drilling and geophysics contractor rates.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4060"/>
        <w:gridCol w:w="2200"/>
        <w:gridCol w:w="1900"/>
      </w:tblGrid>
      <w:tr>
        <w:trPr>
          <w:tblHeader/>
        </w:trPr>
        <w:tc>
          <w:tcPr>
            <w:tcW w:type="dxa" w:w="1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Phase</w:t>
            </w:r>
          </w:p>
        </w:tc>
        <w:tc>
          <w:tcPr>
            <w:tcW w:type="dxa" w:w="40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Scope</w:t>
            </w:r>
          </w:p>
        </w:tc>
        <w:tc>
          <w:tcPr>
            <w:tcW w:type="dxa" w:w="2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Timeline</w:t>
            </w:r>
          </w:p>
        </w:tc>
        <w:tc>
          <w:tcPr>
            <w:tcW w:type="dxa" w:w="19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Budget (CAD)</w:t>
            </w:r>
          </w:p>
        </w:tc>
      </w:tr>
      <w:tr>
        <w:tc>
          <w:tcPr>
            <w:tcW w:type="dxa" w:w="1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val="false"/>
                <w:bCs w:val="false"/>
                <w:color w:val="1B3A6B"/>
                <w:sz w:val="20"/>
                <w:szCs w:val="20"/>
              </w:rPr>
              <w:t xml:space="preserve">Phase 1A</w:t>
            </w:r>
          </w:p>
        </w:tc>
        <w:tc>
          <w:tcPr>
            <w:tcW w:type="dxa" w:w="40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2A2A2A"/>
                <w:sz w:val="20"/>
                <w:szCs w:val="20"/>
              </w:rPr>
              <w:t xml:space="preserve">IP geophysics (2,500 line-m) + ground EM (VTEM follow-up, 600 m)</w:t>
            </w:r>
          </w:p>
        </w:tc>
        <w:tc>
          <w:tcPr>
            <w:tcW w:type="dxa" w:w="2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3–4 months</w:t>
            </w:r>
          </w:p>
        </w:tc>
        <w:tc>
          <w:tcPr>
            <w:tcW w:type="dxa" w:w="19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val="false"/>
                <w:bCs w:val="false"/>
                <w:color w:val="1B3A6B"/>
                <w:sz w:val="20"/>
                <w:szCs w:val="20"/>
              </w:rPr>
              <w:t xml:space="preserve">$180,000–$250,000</w:t>
            </w:r>
          </w:p>
        </w:tc>
      </w:tr>
      <w:tr>
        <w:tc>
          <w:tcPr>
            <w:tcW w:type="dxa" w:w="1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val="false"/>
                <w:bCs w:val="false"/>
                <w:color w:val="1B3A6B"/>
                <w:sz w:val="20"/>
                <w:szCs w:val="20"/>
              </w:rPr>
              <w:t xml:space="preserve">Phase 1B</w:t>
            </w:r>
          </w:p>
        </w:tc>
        <w:tc>
          <w:tcPr>
            <w:tcW w:type="dxa" w:w="40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2A2A2A"/>
                <w:sz w:val="20"/>
                <w:szCs w:val="20"/>
              </w:rPr>
              <w:t xml:space="preserve">5–8 diamond drill holes (avg 400m depth; ~2,800 m total)</w:t>
            </w:r>
          </w:p>
        </w:tc>
        <w:tc>
          <w:tcPr>
            <w:tcW w:type="dxa" w:w="2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4–6 months</w:t>
            </w:r>
          </w:p>
        </w:tc>
        <w:tc>
          <w:tcPr>
            <w:tcW w:type="dxa" w:w="19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val="false"/>
                <w:bCs w:val="false"/>
                <w:color w:val="1B3A6B"/>
                <w:sz w:val="20"/>
                <w:szCs w:val="20"/>
              </w:rPr>
              <w:t xml:space="preserve">$1,050,000–$1,680,000</w:t>
            </w:r>
          </w:p>
        </w:tc>
      </w:tr>
      <w:tr>
        <w:tc>
          <w:tcPr>
            <w:tcW w:type="dxa" w:w="1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val="false"/>
                <w:bCs w:val="false"/>
                <w:color w:val="1B3A6B"/>
                <w:sz w:val="20"/>
                <w:szCs w:val="20"/>
              </w:rPr>
              <w:t xml:space="preserve">Phase 1 QA/QC</w:t>
            </w:r>
          </w:p>
        </w:tc>
        <w:tc>
          <w:tcPr>
            <w:tcW w:type="dxa" w:w="40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2A2A2A"/>
                <w:sz w:val="20"/>
                <w:szCs w:val="20"/>
              </w:rPr>
              <w:t xml:space="preserve">Modern assay program, QA/QC, geological logging, compilation</w:t>
            </w:r>
          </w:p>
        </w:tc>
        <w:tc>
          <w:tcPr>
            <w:tcW w:type="dxa" w:w="2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Concurrent</w:t>
            </w:r>
          </w:p>
        </w:tc>
        <w:tc>
          <w:tcPr>
            <w:tcW w:type="dxa" w:w="19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val="false"/>
                <w:bCs w:val="false"/>
                <w:color w:val="1B3A6B"/>
                <w:sz w:val="20"/>
                <w:szCs w:val="20"/>
              </w:rPr>
              <w:t xml:space="preserve">$120,000–$200,000</w:t>
            </w:r>
          </w:p>
        </w:tc>
      </w:tr>
      <w:tr>
        <w:tc>
          <w:tcPr>
            <w:tcW w:type="dxa" w:w="1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val="false"/>
                <w:bCs w:val="false"/>
                <w:color w:val="1B3A6B"/>
                <w:sz w:val="20"/>
                <w:szCs w:val="20"/>
              </w:rPr>
              <w:t xml:space="preserve">Phase 1 G&amp;A</w:t>
            </w:r>
          </w:p>
        </w:tc>
        <w:tc>
          <w:tcPr>
            <w:tcW w:type="dxa" w:w="40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2A2A2A"/>
                <w:sz w:val="20"/>
                <w:szCs w:val="20"/>
              </w:rPr>
              <w:t xml:space="preserve">Management, camp, transport, insurance, consultation</w:t>
            </w:r>
          </w:p>
        </w:tc>
        <w:tc>
          <w:tcPr>
            <w:tcW w:type="dxa" w:w="2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Concurrent</w:t>
            </w:r>
          </w:p>
        </w:tc>
        <w:tc>
          <w:tcPr>
            <w:tcW w:type="dxa" w:w="19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val="false"/>
                <w:bCs w:val="false"/>
                <w:color w:val="1B3A6B"/>
                <w:sz w:val="20"/>
                <w:szCs w:val="20"/>
              </w:rPr>
              <w:t xml:space="preserve">$150,000–$250,000</w:t>
            </w:r>
          </w:p>
        </w:tc>
      </w:tr>
      <w:tr>
        <w:tc>
          <w:tcPr>
            <w:tcW w:type="dxa" w:w="1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left"/>
            </w:pPr>
            <w:r>
              <w:rPr>
                <w:rFonts w:ascii="Calibri" w:cs="Calibri" w:eastAsia="Calibri" w:hAnsi="Calibri"/>
                <w:b/>
                <w:bCs/>
                <w:color w:val="FFFFFF"/>
                <w:sz w:val="20"/>
                <w:szCs w:val="20"/>
              </w:rPr>
              <w:t xml:space="preserve">Phase 1 Total</w:t>
            </w:r>
          </w:p>
        </w:tc>
        <w:tc>
          <w:tcPr>
            <w:tcW w:type="dxa" w:w="40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left"/>
            </w:pPr>
            <w:r>
              <w:rPr>
                <w:rFonts w:ascii="Calibri" w:cs="Calibri" w:eastAsia="Calibri" w:hAnsi="Calibri"/>
                <w:color w:val="FFFFFF"/>
                <w:sz w:val="20"/>
                <w:szCs w:val="20"/>
              </w:rPr>
              <w:t xml:space="preserve">First-pass geophysics + drilling program</w:t>
            </w:r>
          </w:p>
        </w:tc>
        <w:tc>
          <w:tcPr>
            <w:tcW w:type="dxa" w:w="2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color w:val="FFFFFF"/>
                <w:sz w:val="20"/>
                <w:szCs w:val="20"/>
              </w:rPr>
              <w:t xml:space="preserve">~9–12 months</w:t>
            </w:r>
          </w:p>
        </w:tc>
        <w:tc>
          <w:tcPr>
            <w:tcW w:type="dxa" w:w="19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C5A028"/>
                <w:sz w:val="20"/>
                <w:szCs w:val="20"/>
              </w:rPr>
              <w:t xml:space="preserve">$1,500,000–$2,380,000</w:t>
            </w:r>
          </w:p>
        </w:tc>
      </w:tr>
      <w:tr>
        <w:tc>
          <w:tcPr>
            <w:tcW w:type="dxa" w:w="1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val="false"/>
                <w:bCs w:val="false"/>
                <w:color w:val="1B3A6B"/>
                <w:sz w:val="20"/>
                <w:szCs w:val="20"/>
              </w:rPr>
              <w:t xml:space="preserve">Phase 2A</w:t>
            </w:r>
          </w:p>
        </w:tc>
        <w:tc>
          <w:tcPr>
            <w:tcW w:type="dxa" w:w="40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2A2A2A"/>
                <w:sz w:val="20"/>
                <w:szCs w:val="20"/>
              </w:rPr>
              <w:t xml:space="preserve">Step-out drilling: 8–15 holes (~5,000 m) to define maiden resource</w:t>
            </w:r>
          </w:p>
        </w:tc>
        <w:tc>
          <w:tcPr>
            <w:tcW w:type="dxa" w:w="2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6–9 months</w:t>
            </w:r>
          </w:p>
        </w:tc>
        <w:tc>
          <w:tcPr>
            <w:tcW w:type="dxa" w:w="19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val="false"/>
                <w:bCs w:val="false"/>
                <w:color w:val="1B3A6B"/>
                <w:sz w:val="20"/>
                <w:szCs w:val="20"/>
              </w:rPr>
              <w:t xml:space="preserve">$1,875,000–$3,750,000</w:t>
            </w:r>
          </w:p>
        </w:tc>
      </w:tr>
      <w:tr>
        <w:tc>
          <w:tcPr>
            <w:tcW w:type="dxa" w:w="1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val="false"/>
                <w:bCs w:val="false"/>
                <w:color w:val="1B3A6B"/>
                <w:sz w:val="20"/>
                <w:szCs w:val="20"/>
              </w:rPr>
              <w:t xml:space="preserve">Phase 2B</w:t>
            </w:r>
          </w:p>
        </w:tc>
        <w:tc>
          <w:tcPr>
            <w:tcW w:type="dxa" w:w="40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2A2A2A"/>
                <w:sz w:val="20"/>
                <w:szCs w:val="20"/>
              </w:rPr>
              <w:t xml:space="preserve">Resource modelling, NI 43-101 compliant resource estimate</w:t>
            </w:r>
          </w:p>
        </w:tc>
        <w:tc>
          <w:tcPr>
            <w:tcW w:type="dxa" w:w="2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4–6 months</w:t>
            </w:r>
          </w:p>
        </w:tc>
        <w:tc>
          <w:tcPr>
            <w:tcW w:type="dxa" w:w="19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val="false"/>
                <w:bCs w:val="false"/>
                <w:color w:val="1B3A6B"/>
                <w:sz w:val="20"/>
                <w:szCs w:val="20"/>
              </w:rPr>
              <w:t xml:space="preserve">$300,000–$500,000</w:t>
            </w:r>
          </w:p>
        </w:tc>
      </w:tr>
      <w:tr>
        <w:tc>
          <w:tcPr>
            <w:tcW w:type="dxa" w:w="1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left"/>
            </w:pPr>
            <w:r>
              <w:rPr>
                <w:rFonts w:ascii="Calibri" w:cs="Calibri" w:eastAsia="Calibri" w:hAnsi="Calibri"/>
                <w:b/>
                <w:bCs/>
                <w:color w:val="FFFFFF"/>
                <w:sz w:val="20"/>
                <w:szCs w:val="20"/>
              </w:rPr>
              <w:t xml:space="preserve">Phase 2 Total</w:t>
            </w:r>
          </w:p>
        </w:tc>
        <w:tc>
          <w:tcPr>
            <w:tcW w:type="dxa" w:w="40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left"/>
            </w:pPr>
            <w:r>
              <w:rPr>
                <w:rFonts w:ascii="Calibri" w:cs="Calibri" w:eastAsia="Calibri" w:hAnsi="Calibri"/>
                <w:color w:val="FFFFFF"/>
                <w:sz w:val="20"/>
                <w:szCs w:val="20"/>
              </w:rPr>
              <w:t xml:space="preserve">Resource definition program</w:t>
            </w:r>
          </w:p>
        </w:tc>
        <w:tc>
          <w:tcPr>
            <w:tcW w:type="dxa" w:w="2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color w:val="FFFFFF"/>
                <w:sz w:val="20"/>
                <w:szCs w:val="20"/>
              </w:rPr>
              <w:t xml:space="preserve">~12 months</w:t>
            </w:r>
          </w:p>
        </w:tc>
        <w:tc>
          <w:tcPr>
            <w:tcW w:type="dxa" w:w="19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C5A028"/>
                <w:sz w:val="20"/>
                <w:szCs w:val="20"/>
              </w:rPr>
              <w:t xml:space="preserve">$2,175,000–$4,250,000</w:t>
            </w:r>
          </w:p>
        </w:tc>
      </w:tr>
      <w:tr>
        <w:tc>
          <w:tcPr>
            <w:tcW w:type="dxa" w:w="1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left"/>
            </w:pPr>
            <w:r>
              <w:rPr>
                <w:rFonts w:ascii="Calibri" w:cs="Calibri" w:eastAsia="Calibri" w:hAnsi="Calibri"/>
                <w:b/>
                <w:bCs/>
                <w:color w:val="FFFFFF"/>
                <w:sz w:val="20"/>
                <w:szCs w:val="20"/>
              </w:rPr>
              <w:t xml:space="preserve">Phase 3</w:t>
            </w:r>
          </w:p>
        </w:tc>
        <w:tc>
          <w:tcPr>
            <w:tcW w:type="dxa" w:w="40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left"/>
            </w:pPr>
            <w:r>
              <w:rPr>
                <w:rFonts w:ascii="Calibri" w:cs="Calibri" w:eastAsia="Calibri" w:hAnsi="Calibri"/>
                <w:color w:val="FFFFFF"/>
                <w:sz w:val="20"/>
                <w:szCs w:val="20"/>
              </w:rPr>
              <w:t xml:space="preserve">PEA / scoping study (if Phase 2 defines +3 Mt @ +1.0% Ni Eq)</w:t>
            </w:r>
          </w:p>
        </w:tc>
        <w:tc>
          <w:tcPr>
            <w:tcW w:type="dxa" w:w="2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color w:val="FFFFFF"/>
                <w:sz w:val="20"/>
                <w:szCs w:val="20"/>
              </w:rPr>
              <w:t xml:space="preserve">6–9 months</w:t>
            </w:r>
          </w:p>
        </w:tc>
        <w:tc>
          <w:tcPr>
            <w:tcW w:type="dxa" w:w="19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C5A028"/>
                <w:sz w:val="20"/>
                <w:szCs w:val="20"/>
              </w:rPr>
              <w:t xml:space="preserve">$800,000–$1,500,000</w:t>
            </w:r>
          </w:p>
        </w:tc>
      </w:tr>
    </w:tbl>
    <w:p>
      <w:pPr>
        <w:spacing w:after="120"/>
      </w:pPr>
    </w:p>
    <w:p>
      <w:pPr>
        <w:spacing w:after="200"/>
      </w:pPr>
      <w:r>
        <w:rPr>
          <w:rFonts w:ascii="Calibri" w:cs="Calibri" w:eastAsia="Calibri" w:hAnsi="Calibri"/>
          <w:i/>
          <w:iCs/>
          <w:color w:val="4A5E7A"/>
          <w:sz w:val="18"/>
          <w:szCs w:val="18"/>
        </w:rPr>
        <w:t xml:space="preserve">Budget ranges based on 2024-25 Ontario contractor rates. Drilling at CAD 375–600/m (underground access not required for Phase 1). Camp costs CAD 450–600/person-day. IP geophysics CAD 60–90/station.</w:t>
      </w:r>
    </w:p>
    <w:p>
      <w:pPr>
        <w:pStyle w:val="Heading1"/>
        <w:spacing w:after="180" w:before="360"/>
      </w:pPr>
      <w:r>
        <w:rPr>
          <w:rFonts w:ascii="Georgia" w:cs="Georgia" w:eastAsia="Georgia" w:hAnsi="Georgia"/>
          <w:b/>
          <w:bCs/>
          <w:color w:val="0D1B2E"/>
          <w:sz w:val="32"/>
          <w:szCs w:val="32"/>
        </w:rPr>
        <w:t xml:space="preserve">Metal Price Assumptions</w:t>
      </w:r>
    </w:p>
    <w:p>
      <w:pPr>
        <w:spacing w:after="140" w:line="320"/>
        <w:jc w:val="both"/>
      </w:pPr>
      <w:r>
        <w:rPr>
          <w:rFonts w:ascii="Calibri" w:cs="Calibri" w:eastAsia="Calibri" w:hAnsi="Calibri"/>
          <w:color w:val="2A2A2A"/>
          <w:sz w:val="22"/>
          <w:szCs w:val="22"/>
        </w:rPr>
        <w:t xml:space="preserve">Three price scenarios are used throughout this analysis — Bear, Base, and Bull — reflecting a range of nickel market conditions. Nickel has historically exhibited significant volatility (ranging from USD 8,000 to USD 48,000/t over the past decade). The Base Case reflects consensus analyst forward curves as of mid-2025, incorporating energy-transition demand growth offset by Indonesian supply increases.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680"/>
        <w:gridCol w:w="1680"/>
        <w:gridCol w:w="1680"/>
        <w:gridCol w:w="1980"/>
      </w:tblGrid>
      <w:tr>
        <w:trPr>
          <w:tblHeader/>
        </w:trPr>
        <w:tc>
          <w:tcPr>
            <w:tcW w:type="dxa" w:w="234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Metal</w:t>
            </w:r>
          </w:p>
        </w:tc>
        <w:tc>
          <w:tcPr>
            <w:tcW w:type="dxa" w:w="168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Bear Case</w:t>
            </w:r>
          </w:p>
        </w:tc>
        <w:tc>
          <w:tcPr>
            <w:tcW w:type="dxa" w:w="168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Base Case</w:t>
            </w:r>
          </w:p>
        </w:tc>
        <w:tc>
          <w:tcPr>
            <w:tcW w:type="dxa" w:w="168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Bull Case</w:t>
            </w:r>
          </w:p>
        </w:tc>
        <w:tc>
          <w:tcPr>
            <w:tcW w:type="dxa" w:w="198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Unit</w:t>
            </w:r>
          </w:p>
        </w:tc>
      </w:tr>
      <w:tr>
        <w:tc>
          <w:tcPr>
            <w:tcW w:type="dxa" w:w="234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2A2A2A"/>
                <w:sz w:val="20"/>
                <w:szCs w:val="20"/>
              </w:rPr>
              <w:t xml:space="preserve">Nickel (LME)</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8B2A1A"/>
                <w:sz w:val="20"/>
                <w:szCs w:val="20"/>
              </w:rPr>
              <w:t xml:space="preserve">USD 12,000</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0D1B2E"/>
                <w:sz w:val="20"/>
                <w:szCs w:val="20"/>
              </w:rPr>
              <w:t xml:space="preserve">USD 17,000</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D6A45"/>
                <w:sz w:val="20"/>
                <w:szCs w:val="20"/>
              </w:rPr>
              <w:t xml:space="preserve">USD 24,000</w:t>
            </w:r>
          </w:p>
        </w:tc>
        <w:tc>
          <w:tcPr>
            <w:tcW w:type="dxa" w:w="19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4A5E7A"/>
                <w:sz w:val="18"/>
                <w:szCs w:val="18"/>
              </w:rPr>
              <w:t xml:space="preserve">per tonne</w:t>
            </w:r>
          </w:p>
        </w:tc>
      </w:tr>
      <w:tr>
        <w:tc>
          <w:tcPr>
            <w:tcW w:type="dxa" w:w="234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2A2A2A"/>
                <w:sz w:val="20"/>
                <w:szCs w:val="20"/>
              </w:rPr>
              <w:t xml:space="preserve">Copper (LME)</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8B2A1A"/>
                <w:sz w:val="20"/>
                <w:szCs w:val="20"/>
              </w:rPr>
              <w:t xml:space="preserve">USD 8,000</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0D1B2E"/>
                <w:sz w:val="20"/>
                <w:szCs w:val="20"/>
              </w:rPr>
              <w:t xml:space="preserve">USD 10,500</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D6A45"/>
                <w:sz w:val="20"/>
                <w:szCs w:val="20"/>
              </w:rPr>
              <w:t xml:space="preserve">USD 13,000</w:t>
            </w:r>
          </w:p>
        </w:tc>
        <w:tc>
          <w:tcPr>
            <w:tcW w:type="dxa" w:w="19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4A5E7A"/>
                <w:sz w:val="18"/>
                <w:szCs w:val="18"/>
              </w:rPr>
              <w:t xml:space="preserve">per tonne</w:t>
            </w:r>
          </w:p>
        </w:tc>
      </w:tr>
      <w:tr>
        <w:tc>
          <w:tcPr>
            <w:tcW w:type="dxa" w:w="234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2A2A2A"/>
                <w:sz w:val="20"/>
                <w:szCs w:val="20"/>
              </w:rPr>
              <w:t xml:space="preserve">Cobalt (LME)</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8B2A1A"/>
                <w:sz w:val="20"/>
                <w:szCs w:val="20"/>
              </w:rPr>
              <w:t xml:space="preserve">USD 25,000</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0D1B2E"/>
                <w:sz w:val="20"/>
                <w:szCs w:val="20"/>
              </w:rPr>
              <w:t xml:space="preserve">USD 40,000</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D6A45"/>
                <w:sz w:val="20"/>
                <w:szCs w:val="20"/>
              </w:rPr>
              <w:t xml:space="preserve">USD 55,000</w:t>
            </w:r>
          </w:p>
        </w:tc>
        <w:tc>
          <w:tcPr>
            <w:tcW w:type="dxa" w:w="19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4A5E7A"/>
                <w:sz w:val="18"/>
                <w:szCs w:val="18"/>
              </w:rPr>
              <w:t xml:space="preserve">per tonne</w:t>
            </w:r>
          </w:p>
        </w:tc>
      </w:tr>
      <w:tr>
        <w:tc>
          <w:tcPr>
            <w:tcW w:type="dxa" w:w="234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2A2A2A"/>
                <w:sz w:val="20"/>
                <w:szCs w:val="20"/>
              </w:rPr>
              <w:t xml:space="preserve">Platinum (LBMA)</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8B2A1A"/>
                <w:sz w:val="20"/>
                <w:szCs w:val="20"/>
              </w:rPr>
              <w:t xml:space="preserve">USD 850</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0D1B2E"/>
                <w:sz w:val="20"/>
                <w:szCs w:val="20"/>
              </w:rPr>
              <w:t xml:space="preserve">USD 1,050</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D6A45"/>
                <w:sz w:val="20"/>
                <w:szCs w:val="20"/>
              </w:rPr>
              <w:t xml:space="preserve">USD 1,400</w:t>
            </w:r>
          </w:p>
        </w:tc>
        <w:tc>
          <w:tcPr>
            <w:tcW w:type="dxa" w:w="19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4A5E7A"/>
                <w:sz w:val="18"/>
                <w:szCs w:val="18"/>
              </w:rPr>
              <w:t xml:space="preserve">per troy oz</w:t>
            </w:r>
          </w:p>
        </w:tc>
      </w:tr>
      <w:tr>
        <w:tc>
          <w:tcPr>
            <w:tcW w:type="dxa" w:w="234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2A2A2A"/>
                <w:sz w:val="20"/>
                <w:szCs w:val="20"/>
              </w:rPr>
              <w:t xml:space="preserve">Palladium (LBMA)</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8B2A1A"/>
                <w:sz w:val="20"/>
                <w:szCs w:val="20"/>
              </w:rPr>
              <w:t xml:space="preserve">USD 900</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0D1B2E"/>
                <w:sz w:val="20"/>
                <w:szCs w:val="20"/>
              </w:rPr>
              <w:t xml:space="preserve">USD 1,100</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D6A45"/>
                <w:sz w:val="20"/>
                <w:szCs w:val="20"/>
              </w:rPr>
              <w:t xml:space="preserve">USD 1,600</w:t>
            </w:r>
          </w:p>
        </w:tc>
        <w:tc>
          <w:tcPr>
            <w:tcW w:type="dxa" w:w="19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4A5E7A"/>
                <w:sz w:val="18"/>
                <w:szCs w:val="18"/>
              </w:rPr>
              <w:t xml:space="preserve">per troy oz</w:t>
            </w:r>
          </w:p>
        </w:tc>
      </w:tr>
      <w:tr>
        <w:tc>
          <w:tcPr>
            <w:tcW w:type="dxa" w:w="234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2A2A2A"/>
                <w:sz w:val="20"/>
                <w:szCs w:val="20"/>
              </w:rPr>
              <w:t xml:space="preserve">CAD/USD FX</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8B2A1A"/>
                <w:sz w:val="20"/>
                <w:szCs w:val="20"/>
              </w:rPr>
              <w:t xml:space="preserve">0.70</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0D1B2E"/>
                <w:sz w:val="20"/>
                <w:szCs w:val="20"/>
              </w:rPr>
              <w:t xml:space="preserve">0.73</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D6A45"/>
                <w:sz w:val="20"/>
                <w:szCs w:val="20"/>
              </w:rPr>
              <w:t xml:space="preserve">0.76</w:t>
            </w:r>
          </w:p>
        </w:tc>
        <w:tc>
          <w:tcPr>
            <w:tcW w:type="dxa" w:w="19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4A5E7A"/>
                <w:sz w:val="18"/>
                <w:szCs w:val="18"/>
              </w:rPr>
              <w:t xml:space="preserve">ratio</w:t>
            </w:r>
          </w:p>
        </w:tc>
      </w:tr>
    </w:tbl>
    <w:p>
      <w:pPr>
        <w:spacing w:after="160"/>
      </w:pPr>
    </w:p>
    <w:p>
      <w:pPr>
        <w:pStyle w:val="Heading1"/>
        <w:spacing w:after="180" w:before="360"/>
      </w:pPr>
      <w:r>
        <w:rPr>
          <w:rFonts w:ascii="Georgia" w:cs="Georgia" w:eastAsia="Georgia" w:hAnsi="Georgia"/>
          <w:b/>
          <w:bCs/>
          <w:color w:val="0D1B2E"/>
          <w:sz w:val="32"/>
          <w:szCs w:val="32"/>
        </w:rPr>
        <w:t xml:space="preserve">NiEq Grade Calculation</w:t>
      </w:r>
    </w:p>
    <w:p>
      <w:pPr>
        <w:spacing w:after="140" w:line="320"/>
        <w:jc w:val="both"/>
      </w:pPr>
      <w:r>
        <w:rPr>
          <w:rFonts w:ascii="Calibri" w:cs="Calibri" w:eastAsia="Calibri" w:hAnsi="Calibri"/>
          <w:color w:val="2A2A2A"/>
          <w:sz w:val="22"/>
          <w:szCs w:val="22"/>
        </w:rPr>
        <w:t xml:space="preserve">For scenario modelling purposes, a Nickel Equivalent (NiEq) grade is calculated to reduce the polymetallic deposit to a single comparable metric. At Base Case metals prices:</w:t>
      </w:r>
    </w:p>
    <w:p>
      <w:pPr>
        <w:pStyle w:val="ListParagraph"/>
        <w:numPr>
          <w:ilvl w:val="0"/>
          <w:numId w:val="2"/>
        </w:numPr>
        <w:spacing w:after="100" w:line="300"/>
      </w:pPr>
      <w:r>
        <w:rPr>
          <w:rFonts w:ascii="Calibri" w:cs="Calibri" w:eastAsia="Calibri" w:hAnsi="Calibri"/>
          <w:color w:val="2A2A2A"/>
          <w:sz w:val="22"/>
          <w:szCs w:val="22"/>
        </w:rPr>
        <w:t xml:space="preserve">NiEq (%) = Ni% + (Cu% × 0.62) + (Co% × 2.35) + (Pt g/t × 0.062) + (Pd g/t × 0.065)</w:t>
      </w:r>
    </w:p>
    <w:p>
      <w:pPr>
        <w:spacing w:after="140" w:line="320"/>
        <w:jc w:val="both"/>
      </w:pPr>
      <w:r>
        <w:rPr>
          <w:rFonts w:ascii="Calibri" w:cs="Calibri" w:eastAsia="Calibri" w:hAnsi="Calibri"/>
          <w:color w:val="2A2A2A"/>
          <w:sz w:val="22"/>
          <w:szCs w:val="22"/>
        </w:rPr>
        <w:t xml:space="preserve">This formula applies standard payability factors (85% Ni, 87% Cu, 72% Co) and smelter penalties typical for a Sudbury sulphide concentrate. The resulting NiEq grades align with industry-standard reporting practices used by Vale, Glencore, and KGHM for comparable Sudbury deposits.</w:t>
      </w:r>
    </w:p>
    <w:p>
      <w:pPr>
        <w:pStyle w:val="Heading1"/>
        <w:spacing w:after="180" w:before="360"/>
      </w:pPr>
      <w:r>
        <w:rPr>
          <w:rFonts w:ascii="Georgia" w:cs="Georgia" w:eastAsia="Georgia" w:hAnsi="Georgia"/>
          <w:b/>
          <w:bCs/>
          <w:color w:val="0D1B2E"/>
          <w:sz w:val="32"/>
          <w:szCs w:val="32"/>
        </w:rPr>
        <w:t xml:space="preserve">Hypothetical Resource Scenarios</w:t>
      </w:r>
    </w:p>
    <w:p>
      <w:pPr>
        <w:spacing w:after="140" w:line="320"/>
        <w:jc w:val="both"/>
      </w:pPr>
      <w:r>
        <w:rPr>
          <w:rFonts w:ascii="Calibri" w:cs="Calibri" w:eastAsia="Calibri" w:hAnsi="Calibri"/>
          <w:color w:val="2A2A2A"/>
          <w:sz w:val="22"/>
          <w:szCs w:val="22"/>
        </w:rPr>
        <w:t xml:space="preserve">The following scenarios illustrate what a range of discovery outcomes would mean in terms of NiEq metal content and in-situ gross metal value. These are HYPOTHETICAL — no resource has been estimated at Nairn. The Totten and Victoria analogues are based on actual published resources at those projects, provided to show what is geologically possible on the same dyke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60"/>
        <w:gridCol w:w="1320"/>
        <w:gridCol w:w="1320"/>
        <w:gridCol w:w="1320"/>
        <w:gridCol w:w="1500"/>
        <w:gridCol w:w="1180"/>
        <w:gridCol w:w="1360"/>
      </w:tblGrid>
      <w:tr>
        <w:trPr>
          <w:tblHeader/>
        </w:trPr>
        <w:tc>
          <w:tcPr>
            <w:tcW w:type="dxa" w:w="13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Scenario</w:t>
            </w:r>
          </w:p>
        </w:tc>
        <w:tc>
          <w:tcPr>
            <w:tcW w:type="dxa" w:w="132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Tonnes (Mt)</w:t>
            </w:r>
          </w:p>
        </w:tc>
        <w:tc>
          <w:tcPr>
            <w:tcW w:type="dxa" w:w="132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Ni Grade (%)</w:t>
            </w:r>
          </w:p>
        </w:tc>
        <w:tc>
          <w:tcPr>
            <w:tcW w:type="dxa" w:w="132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Cu Grade (%)</w:t>
            </w:r>
          </w:p>
        </w:tc>
        <w:tc>
          <w:tcPr>
            <w:tcW w:type="dxa" w:w="15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NiEq Grade (%)</w:t>
            </w:r>
          </w:p>
        </w:tc>
        <w:tc>
          <w:tcPr>
            <w:tcW w:type="dxa" w:w="118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NiEq Metal (t)</w:t>
            </w:r>
          </w:p>
        </w:tc>
        <w:tc>
          <w:tcPr>
            <w:tcW w:type="dxa" w:w="13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In-Situ Value
@USD17k/t Ni</w:t>
            </w:r>
          </w:p>
        </w:tc>
      </w:tr>
      <w:tr>
        <w:tc>
          <w:tcPr>
            <w:tcW w:type="dxa" w:w="13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1B3A6B"/>
                <w:sz w:val="20"/>
                <w:szCs w:val="20"/>
              </w:rPr>
              <w:t xml:space="preserve">Small</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2.0</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1.0%</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0.5%</w:t>
            </w:r>
          </w:p>
        </w:tc>
        <w:tc>
          <w:tcPr>
            <w:tcW w:type="dxa" w:w="15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~1.25%</w:t>
            </w:r>
          </w:p>
        </w:tc>
        <w:tc>
          <w:tcPr>
            <w:tcW w:type="dxa" w:w="11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25,000 t</w:t>
            </w:r>
          </w:p>
        </w:tc>
        <w:tc>
          <w:tcPr>
            <w:tcW w:type="dxa" w:w="13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~CAD 580M</w:t>
            </w:r>
          </w:p>
        </w:tc>
      </w:tr>
      <w:tr>
        <w:tc>
          <w:tcPr>
            <w:tcW w:type="dxa" w:w="13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1B3A6B"/>
                <w:sz w:val="20"/>
                <w:szCs w:val="20"/>
              </w:rPr>
              <w:t xml:space="preserve">Base</w:t>
            </w:r>
          </w:p>
        </w:tc>
        <w:tc>
          <w:tcPr>
            <w:tcW w:type="dxa" w:w="132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5.0</w:t>
            </w:r>
          </w:p>
        </w:tc>
        <w:tc>
          <w:tcPr>
            <w:tcW w:type="dxa" w:w="132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1.2%</w:t>
            </w:r>
          </w:p>
        </w:tc>
        <w:tc>
          <w:tcPr>
            <w:tcW w:type="dxa" w:w="132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0.7%</w:t>
            </w:r>
          </w:p>
        </w:tc>
        <w:tc>
          <w:tcPr>
            <w:tcW w:type="dxa" w:w="15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~1.57%</w:t>
            </w:r>
          </w:p>
        </w:tc>
        <w:tc>
          <w:tcPr>
            <w:tcW w:type="dxa" w:w="11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78,500 t</w:t>
            </w:r>
          </w:p>
        </w:tc>
        <w:tc>
          <w:tcPr>
            <w:tcW w:type="dxa" w:w="13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~CAD 1.8B</w:t>
            </w:r>
          </w:p>
        </w:tc>
      </w:tr>
      <w:tr>
        <w:tc>
          <w:tcPr>
            <w:tcW w:type="dxa" w:w="13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1B3A6B"/>
                <w:sz w:val="20"/>
                <w:szCs w:val="20"/>
              </w:rPr>
              <w:t xml:space="preserve">Optimistic</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10.0</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1.5%</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1.0%</w:t>
            </w:r>
          </w:p>
        </w:tc>
        <w:tc>
          <w:tcPr>
            <w:tcW w:type="dxa" w:w="15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~1.98%</w:t>
            </w:r>
          </w:p>
        </w:tc>
        <w:tc>
          <w:tcPr>
            <w:tcW w:type="dxa" w:w="11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198,000 t</w:t>
            </w:r>
          </w:p>
        </w:tc>
        <w:tc>
          <w:tcPr>
            <w:tcW w:type="dxa" w:w="13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~CAD 4.6B</w:t>
            </w:r>
          </w:p>
        </w:tc>
      </w:tr>
      <w:tr>
        <w:tc>
          <w:tcPr>
            <w:tcW w:type="dxa" w:w="13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1B3A6B"/>
                <w:sz w:val="20"/>
                <w:szCs w:val="20"/>
              </w:rPr>
              <w:t xml:space="preserve">Totten Analogue</w:t>
            </w:r>
          </w:p>
        </w:tc>
        <w:tc>
          <w:tcPr>
            <w:tcW w:type="dxa" w:w="132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10.5</w:t>
            </w:r>
          </w:p>
        </w:tc>
        <w:tc>
          <w:tcPr>
            <w:tcW w:type="dxa" w:w="132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1.5%</w:t>
            </w:r>
          </w:p>
        </w:tc>
        <w:tc>
          <w:tcPr>
            <w:tcW w:type="dxa" w:w="132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2.0%</w:t>
            </w:r>
          </w:p>
        </w:tc>
        <w:tc>
          <w:tcPr>
            <w:tcW w:type="dxa" w:w="15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~2.37%</w:t>
            </w:r>
          </w:p>
        </w:tc>
        <w:tc>
          <w:tcPr>
            <w:tcW w:type="dxa" w:w="11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A2A2A"/>
                <w:sz w:val="20"/>
                <w:szCs w:val="20"/>
              </w:rPr>
              <w:t xml:space="preserve">249,000 t</w:t>
            </w:r>
          </w:p>
        </w:tc>
        <w:tc>
          <w:tcPr>
            <w:tcW w:type="dxa" w:w="13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~CAD 5.8B</w:t>
            </w:r>
          </w:p>
        </w:tc>
      </w:tr>
      <w:tr>
        <w:tc>
          <w:tcPr>
            <w:tcW w:type="dxa" w:w="13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1B3A6B"/>
                <w:sz w:val="20"/>
                <w:szCs w:val="20"/>
              </w:rPr>
              <w:t xml:space="preserve">Victoria Analogue</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14.5</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2.5%</w:t>
            </w:r>
          </w:p>
        </w:tc>
        <w:tc>
          <w:tcPr>
            <w:tcW w:type="dxa" w:w="132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2.5%</w:t>
            </w:r>
          </w:p>
        </w:tc>
        <w:tc>
          <w:tcPr>
            <w:tcW w:type="dxa" w:w="15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~3.25%</w:t>
            </w:r>
          </w:p>
        </w:tc>
        <w:tc>
          <w:tcPr>
            <w:tcW w:type="dxa" w:w="11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A2A2A"/>
                <w:sz w:val="20"/>
                <w:szCs w:val="20"/>
              </w:rPr>
              <w:t xml:space="preserve">471,000 t</w:t>
            </w:r>
          </w:p>
        </w:tc>
        <w:tc>
          <w:tcPr>
            <w:tcW w:type="dxa" w:w="13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~CAD 11.0B</w:t>
            </w:r>
          </w:p>
        </w:tc>
      </w:tr>
    </w:tbl>
    <w:p>
      <w:pPr>
        <w:spacing w:after="120"/>
      </w:pPr>
    </w:p>
    <w:p>
      <w:pPr>
        <w:spacing w:after="200"/>
      </w:pPr>
      <w:r>
        <w:rPr>
          <w:rFonts w:ascii="Calibri" w:cs="Calibri" w:eastAsia="Calibri" w:hAnsi="Calibri"/>
          <w:i/>
          <w:iCs/>
          <w:color w:val="4A5E7A"/>
          <w:sz w:val="18"/>
          <w:szCs w:val="18"/>
        </w:rPr>
        <w:t xml:space="preserve">NiEq calculated at Base Case metal prices. In-situ value assumes 100% NiEq at USD 17,000/t Ni price (CAD 23,290/t at 0.73 FX). In-situ value is gross undiscounted metal value with no processing or capital cost deductions — it is an order-of-magnitude indicator only, not a recoverable or economic value.</w:t>
      </w:r>
    </w:p>
    <w:p>
      <w:pPr>
        <w:pStyle w:val="Heading1"/>
        <w:spacing w:after="180" w:before="360"/>
      </w:pPr>
      <w:r>
        <w:rPr>
          <w:rFonts w:ascii="Georgia" w:cs="Georgia" w:eastAsia="Georgia" w:hAnsi="Georgia"/>
          <w:b/>
          <w:bCs/>
          <w:color w:val="0D1B2E"/>
          <w:sz w:val="32"/>
          <w:szCs w:val="32"/>
        </w:rPr>
        <w:t xml:space="preserve">Acquirer Return Analysis</w:t>
      </w:r>
    </w:p>
    <w:p>
      <w:pPr>
        <w:spacing w:after="140" w:line="320"/>
        <w:jc w:val="both"/>
      </w:pPr>
      <w:r>
        <w:rPr>
          <w:rFonts w:ascii="Calibri" w:cs="Calibri" w:eastAsia="Calibri" w:hAnsi="Calibri"/>
          <w:color w:val="2A2A2A"/>
          <w:sz w:val="22"/>
          <w:szCs w:val="22"/>
        </w:rPr>
        <w:t xml:space="preserve">The table below illustrates the potential return to an acquiring party that funds a Phase 1 + Phase 2 exploration program through to a maiden resource estimate, under the three discovery scenarios. Market capitalisation re-ratings are based on $/t NiEq valuations observed in junior mining M&amp;A transactions in the Sudbury Basin and comparable Canadian nickel districts.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1660"/>
        <w:gridCol w:w="1660"/>
        <w:gridCol w:w="1660"/>
        <w:gridCol w:w="1680"/>
      </w:tblGrid>
      <w:tr>
        <w:trPr>
          <w:tblHeader/>
        </w:trPr>
        <w:tc>
          <w:tcPr>
            <w:tcW w:type="dxa" w:w="27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Metric</w:t>
            </w:r>
          </w:p>
        </w:tc>
        <w:tc>
          <w:tcPr>
            <w:tcW w:type="dxa" w:w="16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Bear</w:t>
            </w:r>
          </w:p>
        </w:tc>
        <w:tc>
          <w:tcPr>
            <w:tcW w:type="dxa" w:w="16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Base</w:t>
            </w:r>
          </w:p>
        </w:tc>
        <w:tc>
          <w:tcPr>
            <w:tcW w:type="dxa" w:w="16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Bull</w:t>
            </w:r>
          </w:p>
        </w:tc>
        <w:tc>
          <w:tcPr>
            <w:tcW w:type="dxa" w:w="168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Notes</w:t>
            </w:r>
          </w:p>
        </w:tc>
      </w:tr>
      <w:tr>
        <w:tc>
          <w:tcPr>
            <w:tcW w:type="dxa" w:w="27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2A2A2A"/>
                <w:sz w:val="20"/>
                <w:szCs w:val="20"/>
              </w:rPr>
              <w:t xml:space="preserve">Exploration cost (Phase 1+2)</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8B2A1A"/>
                <w:sz w:val="20"/>
                <w:szCs w:val="20"/>
              </w:rPr>
              <w:t xml:space="preserve">CAD 3M</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CAD 4M</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D6A45"/>
                <w:sz w:val="20"/>
                <w:szCs w:val="20"/>
              </w:rPr>
              <w:t xml:space="preserve">CAD 6M</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4A5E7A"/>
                <w:sz w:val="17"/>
                <w:szCs w:val="17"/>
              </w:rPr>
              <w:t xml:space="preserve">Direct program cost</w:t>
            </w:r>
          </w:p>
        </w:tc>
      </w:tr>
      <w:tr>
        <w:tc>
          <w:tcPr>
            <w:tcW w:type="dxa" w:w="27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2A2A2A"/>
                <w:sz w:val="20"/>
                <w:szCs w:val="20"/>
              </w:rPr>
              <w:t xml:space="preserve">Discovery resource (NiEq)</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8B2A1A"/>
                <w:sz w:val="20"/>
                <w:szCs w:val="20"/>
              </w:rPr>
              <w:t xml:space="preserve">25,000 t</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78,500 t</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D6A45"/>
                <w:sz w:val="20"/>
                <w:szCs w:val="20"/>
              </w:rPr>
              <w:t xml:space="preserve">249,000 t</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4A5E7A"/>
                <w:sz w:val="17"/>
                <w:szCs w:val="17"/>
              </w:rPr>
              <w:t xml:space="preserve">NiEq metal</w:t>
            </w:r>
          </w:p>
        </w:tc>
      </w:tr>
      <w:tr>
        <w:tc>
          <w:tcPr>
            <w:tcW w:type="dxa" w:w="27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2A2A2A"/>
                <w:sz w:val="20"/>
                <w:szCs w:val="20"/>
              </w:rPr>
              <w:t xml:space="preserve">Implied discovery cost ($/t NiEq)</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8B2A1A"/>
                <w:sz w:val="20"/>
                <w:szCs w:val="20"/>
              </w:rPr>
              <w:t xml:space="preserve">CAD 120</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CAD 51</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D6A45"/>
                <w:sz w:val="20"/>
                <w:szCs w:val="20"/>
              </w:rPr>
              <w:t xml:space="preserve">CAD 24</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4A5E7A"/>
                <w:sz w:val="17"/>
                <w:szCs w:val="17"/>
              </w:rPr>
              <w:t xml:space="preserve">Industry avg ~USD 50–150</w:t>
            </w:r>
          </w:p>
        </w:tc>
      </w:tr>
      <w:tr>
        <w:tc>
          <w:tcPr>
            <w:tcW w:type="dxa" w:w="27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2A2A2A"/>
                <w:sz w:val="20"/>
                <w:szCs w:val="20"/>
              </w:rPr>
              <w:t xml:space="preserve">Market cap re-rating (USD/t NiEq)</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8B2A1A"/>
                <w:sz w:val="20"/>
                <w:szCs w:val="20"/>
              </w:rPr>
              <w:t xml:space="preserve">USD 200</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USD 400</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D6A45"/>
                <w:sz w:val="20"/>
                <w:szCs w:val="20"/>
              </w:rPr>
              <w:t xml:space="preserve">USD 650</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4A5E7A"/>
                <w:sz w:val="17"/>
                <w:szCs w:val="17"/>
              </w:rPr>
              <w:t xml:space="preserve">Junior Sudbury precedent</w:t>
            </w:r>
          </w:p>
        </w:tc>
      </w:tr>
      <w:tr>
        <w:tc>
          <w:tcPr>
            <w:tcW w:type="dxa" w:w="27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2A2A2A"/>
                <w:sz w:val="20"/>
                <w:szCs w:val="20"/>
              </w:rPr>
              <w:t xml:space="preserve">Implied market cap post-discovery</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8B2A1A"/>
                <w:sz w:val="20"/>
                <w:szCs w:val="20"/>
              </w:rPr>
              <w:t xml:space="preserve">CAD 7M</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CAD 43M</w:t>
            </w:r>
          </w:p>
        </w:tc>
        <w:tc>
          <w:tcPr>
            <w:tcW w:type="dxa" w:w="16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color w:val="2D6A45"/>
                <w:sz w:val="20"/>
                <w:szCs w:val="20"/>
              </w:rPr>
              <w:t xml:space="preserve">CAD 215M</w:t>
            </w:r>
          </w:p>
        </w:tc>
        <w:tc>
          <w:tcPr>
            <w:tcW w:type="dxa" w:w="168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4A5E7A"/>
                <w:sz w:val="17"/>
                <w:szCs w:val="17"/>
              </w:rPr>
              <w:t xml:space="preserve">Pre-PEA valuation</w:t>
            </w:r>
          </w:p>
        </w:tc>
      </w:tr>
      <w:tr>
        <w:tc>
          <w:tcPr>
            <w:tcW w:type="dxa" w:w="27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2A2A2A"/>
                <w:sz w:val="20"/>
                <w:szCs w:val="20"/>
              </w:rPr>
              <w:t xml:space="preserve">Uplift from Phase 1 cost of CAD 2M</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8B2A1A"/>
                <w:sz w:val="20"/>
                <w:szCs w:val="20"/>
              </w:rPr>
              <w:t xml:space="preserve">3.5×</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A2A2A"/>
                <w:sz w:val="20"/>
                <w:szCs w:val="20"/>
              </w:rPr>
              <w:t xml:space="preserve">21.5×</w:t>
            </w:r>
          </w:p>
        </w:tc>
        <w:tc>
          <w:tcPr>
            <w:tcW w:type="dxa" w:w="16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color w:val="2D6A45"/>
                <w:sz w:val="20"/>
                <w:szCs w:val="20"/>
              </w:rPr>
              <w:t xml:space="preserve">107×</w:t>
            </w:r>
          </w:p>
        </w:tc>
        <w:tc>
          <w:tcPr>
            <w:tcW w:type="dxa" w:w="168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4A5E7A"/>
                <w:sz w:val="17"/>
                <w:szCs w:val="17"/>
              </w:rPr>
              <w:t xml:space="preserve">Return on exploration $</w:t>
            </w:r>
          </w:p>
        </w:tc>
      </w:tr>
    </w:tbl>
    <w:p>
      <w:pPr>
        <w:spacing w:after="120"/>
      </w:pPr>
    </w:p>
    <w:p>
      <w:pPr>
        <w:spacing w:after="200"/>
      </w:pPr>
      <w:r>
        <w:rPr>
          <w:rFonts w:ascii="Calibri" w:cs="Calibri" w:eastAsia="Calibri" w:hAnsi="Calibri"/>
          <w:i/>
          <w:iCs/>
          <w:color w:val="4A5E7A"/>
          <w:sz w:val="18"/>
          <w:szCs w:val="18"/>
        </w:rPr>
        <w:t xml:space="preserve">Market cap valuations are illustrative only, based on historical $/t NiEq transaction and market multiples for pre-PEA Sudbury juniors. Actual returns depend on resource grade, size, metallurgy, capital markets conditions, and deal structure.</w:t>
      </w:r>
    </w:p>
    <w:p>
      <w:pPr>
        <w:pStyle w:val="Heading1"/>
        <w:spacing w:after="180" w:before="360"/>
      </w:pPr>
      <w:r>
        <w:rPr>
          <w:rFonts w:ascii="Georgia" w:cs="Georgia" w:eastAsia="Georgia" w:hAnsi="Georgia"/>
          <w:b/>
          <w:bCs/>
          <w:color w:val="0D1B2E"/>
          <w:sz w:val="32"/>
          <w:szCs w:val="32"/>
        </w:rPr>
        <w:t xml:space="preserve">Sudbury Operating Cost Benchmarks</w:t>
      </w:r>
    </w:p>
    <w:p>
      <w:pPr>
        <w:spacing w:after="140" w:line="320"/>
        <w:jc w:val="both"/>
      </w:pPr>
      <w:r>
        <w:rPr>
          <w:rFonts w:ascii="Calibri" w:cs="Calibri" w:eastAsia="Calibri" w:hAnsi="Calibri"/>
          <w:color w:val="2A2A2A"/>
          <w:sz w:val="22"/>
          <w:szCs w:val="22"/>
        </w:rPr>
        <w:t xml:space="preserve">For reference in understanding the economics of a potential future Nairn operation, the following benchmarks reflect typical Sudbury underground Ni-Cu mine parameters, based on public disclosures by Vale and Glencore: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Mining Method</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Long-hole open stoping or cut-and-fill; typical for tabular/lens SOD bodies</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Underground Mining Cost</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75–110 / tonne mined (Sudbury operators, 2022–24 avg)</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Processing Cost (milling)</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20–35 / tonne milled (processing to sulphide concentrate)</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G&amp;A Cost</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10–20 / tonne mined</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Smelting / Refining</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Sudbury smelters within 25–50 km; TC/RC typically 10–12% of Ni value</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Total AISC (Sudbury range)</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USD 3.50–6.00 / lb Ni (USD 7,700–13,200 / t Ni) — world competitive</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Typical Ore Recovery</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85–92% sulphide flotation recovery for Sudbury massive sulphide</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Water Management</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Dewatering required for underground; Sudbury precedent for tailings management</w:t>
            </w:r>
          </w:p>
        </w:tc>
      </w:tr>
    </w:tbl>
    <w:p>
      <w:pPr>
        <w:spacing w:after="120"/>
      </w:pPr>
    </w:p>
    <w:p>
      <w:pPr>
        <w:spacing w:after="140" w:line="320"/>
        <w:jc w:val="both"/>
      </w:pPr>
      <w:r>
        <w:rPr>
          <w:rFonts w:ascii="Calibri" w:cs="Calibri" w:eastAsia="Calibri" w:hAnsi="Calibri"/>
          <w:color w:val="2A2A2A"/>
          <w:sz w:val="22"/>
          <w:szCs w:val="22"/>
        </w:rPr>
        <w:t xml:space="preserve">At base-case nickel prices of USD 17,000/t and AISC of USD 9,000/t, operating cash margins of approximately USD 8,000/t Ni are achievable for a Sudbury deposit — consistent with the high profitability of active Sudbury mines.</w:t>
      </w:r>
    </w:p>
    <w:p>
      <w:pPr>
        <w:pStyle w:val="Heading1"/>
        <w:spacing w:after="180" w:before="360"/>
      </w:pPr>
      <w:r>
        <w:rPr>
          <w:rFonts w:ascii="Georgia" w:cs="Georgia" w:eastAsia="Georgia" w:hAnsi="Georgia"/>
          <w:b/>
          <w:bCs/>
          <w:color w:val="0D1B2E"/>
          <w:sz w:val="32"/>
          <w:szCs w:val="32"/>
        </w:rPr>
        <w:t xml:space="preserve">Government Grants &amp; Tax Incentives</w:t>
      </w:r>
    </w:p>
    <w:p>
      <w:pPr>
        <w:spacing w:after="140" w:line="320"/>
        <w:jc w:val="both"/>
      </w:pPr>
      <w:r>
        <w:rPr>
          <w:rFonts w:ascii="Calibri" w:cs="Calibri" w:eastAsia="Calibri" w:hAnsi="Calibri"/>
          <w:color w:val="2A2A2A"/>
          <w:sz w:val="22"/>
          <w:szCs w:val="22"/>
        </w:rPr>
        <w:t xml:space="preserve">A Phase 1 program at Nairn may be eligible for several Ontario and federal programs that materially reduce the net cost to an acquiring company: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560"/>
        <w:gridCol w:w="2600"/>
      </w:tblGrid>
      <w:tr>
        <w:trPr>
          <w:tblHeader/>
        </w:trPr>
        <w:tc>
          <w:tcPr>
            <w:tcW w:type="dxa" w:w="32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Program</w:t>
            </w:r>
          </w:p>
        </w:tc>
        <w:tc>
          <w:tcPr>
            <w:tcW w:type="dxa" w:w="356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Details</w:t>
            </w:r>
          </w:p>
        </w:tc>
        <w:tc>
          <w:tcPr>
            <w:tcW w:type="dxa" w:w="2600"/>
            <w:tcBorders>
              <w:top w:val="single" w:color="B0BDD0" w:sz="4"/>
              <w:left w:val="single" w:color="B0BDD0" w:sz="4"/>
              <w:bottom w:val="single" w:color="B0BDD0" w:sz="4"/>
              <w:right w:val="single" w:color="B0BDD0" w:sz="4"/>
            </w:tcBorders>
            <w:shd w:fill="1B3A6B" w:val="clear"/>
            <w:tcMar>
              <w:top w:type="dxa" w:w="110"/>
              <w:left w:type="dxa" w:w="140"/>
              <w:bottom w:type="dxa" w:w="110"/>
              <w:right w:type="dxa" w:w="140"/>
            </w:tcMar>
          </w:tcPr>
          <w:p>
            <w:pPr>
              <w:jc w:val="center"/>
            </w:pPr>
            <w:r>
              <w:rPr>
                <w:rFonts w:ascii="Calibri" w:cs="Calibri" w:eastAsia="Calibri" w:hAnsi="Calibri"/>
                <w:b/>
                <w:bCs/>
                <w:color w:val="FFFFFF"/>
                <w:sz w:val="18"/>
                <w:szCs w:val="18"/>
              </w:rPr>
              <w:t xml:space="preserve">Typical Value</w:t>
            </w:r>
          </w:p>
        </w:tc>
      </w:tr>
      <w:tr>
        <w:tc>
          <w:tcPr>
            <w:tcW w:type="dxa" w:w="3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0D1B2E"/>
                <w:sz w:val="20"/>
                <w:szCs w:val="20"/>
              </w:rPr>
              <w:t xml:space="preserve">Ontario Junior Exploration Program (OJEP)</w:t>
            </w:r>
          </w:p>
        </w:tc>
        <w:tc>
          <w:tcPr>
            <w:tcW w:type="dxa" w:w="35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2A2A2A"/>
                <w:sz w:val="19"/>
                <w:szCs w:val="19"/>
              </w:rPr>
              <w:t xml:space="preserve">Grant for pre-commercial exploration on Ontario mining claims; eligible for drilling and geophysics</w:t>
            </w:r>
          </w:p>
        </w:tc>
        <w:tc>
          <w:tcPr>
            <w:tcW w:type="dxa" w:w="26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Up to CAD 200,000 / year</w:t>
            </w:r>
          </w:p>
        </w:tc>
      </w:tr>
      <w:tr>
        <w:tc>
          <w:tcPr>
            <w:tcW w:type="dxa" w:w="3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0D1B2E"/>
                <w:sz w:val="20"/>
                <w:szCs w:val="20"/>
              </w:rPr>
              <w:t xml:space="preserve">Ontario Flow-Through Shares (FTS)</w:t>
            </w:r>
          </w:p>
        </w:tc>
        <w:tc>
          <w:tcPr>
            <w:tcW w:type="dxa" w:w="35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2A2A2A"/>
                <w:sz w:val="19"/>
                <w:szCs w:val="19"/>
              </w:rPr>
              <w:t xml:space="preserve">Canadian tax incentive allowing 100% deduction + 15% FTS credit on eligible exploration expenditures</w:t>
            </w:r>
          </w:p>
        </w:tc>
        <w:tc>
          <w:tcPr>
            <w:tcW w:type="dxa" w:w="26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Reduces effective exploration cost ~45%</w:t>
            </w:r>
          </w:p>
        </w:tc>
      </w:tr>
      <w:tr>
        <w:tc>
          <w:tcPr>
            <w:tcW w:type="dxa" w:w="3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0D1B2E"/>
                <w:sz w:val="20"/>
                <w:szCs w:val="20"/>
              </w:rPr>
              <w:t xml:space="preserve">Critical Mineral Infrastructure Fund (CMIF)</w:t>
            </w:r>
          </w:p>
        </w:tc>
        <w:tc>
          <w:tcPr>
            <w:tcW w:type="dxa" w:w="35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2A2A2A"/>
                <w:sz w:val="19"/>
                <w:szCs w:val="19"/>
              </w:rPr>
              <w:t xml:space="preserve">Federal program for road, power, and infrastructure supporting critical mineral projects</w:t>
            </w:r>
          </w:p>
        </w:tc>
        <w:tc>
          <w:tcPr>
            <w:tcW w:type="dxa" w:w="26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CAD 50M–500M</w:t>
            </w:r>
          </w:p>
        </w:tc>
      </w:tr>
      <w:tr>
        <w:tc>
          <w:tcPr>
            <w:tcW w:type="dxa" w:w="32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b/>
                <w:bCs/>
                <w:color w:val="0D1B2E"/>
                <w:sz w:val="20"/>
                <w:szCs w:val="20"/>
              </w:rPr>
              <w:t xml:space="preserve">Ontario Focused Flow-Through (OFFT)</w:t>
            </w:r>
          </w:p>
        </w:tc>
        <w:tc>
          <w:tcPr>
            <w:tcW w:type="dxa" w:w="356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left"/>
            </w:pPr>
            <w:r>
              <w:rPr>
                <w:rFonts w:ascii="Calibri" w:cs="Calibri" w:eastAsia="Calibri" w:hAnsi="Calibri"/>
                <w:color w:val="2A2A2A"/>
                <w:sz w:val="19"/>
                <w:szCs w:val="19"/>
              </w:rPr>
              <w:t xml:space="preserve">Ontario refundable tax credit for qualifying exploration expenditures in Ontario</w:t>
            </w:r>
          </w:p>
        </w:tc>
        <w:tc>
          <w:tcPr>
            <w:tcW w:type="dxa" w:w="2600"/>
            <w:tcBorders>
              <w:top w:val="single" w:color="B0BDD0" w:sz="4"/>
              <w:left w:val="single" w:color="B0BDD0" w:sz="4"/>
              <w:bottom w:val="single" w:color="B0BDD0" w:sz="4"/>
              <w:right w:val="single" w:color="B0BDD0" w:sz="4"/>
            </w:tcBorders>
            <w:shd w:fill="E8EDF5" w:val="clear"/>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5% refundable credit on METC-eligible spend</w:t>
            </w:r>
          </w:p>
        </w:tc>
      </w:tr>
      <w:tr>
        <w:tc>
          <w:tcPr>
            <w:tcW w:type="dxa" w:w="32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b/>
                <w:bCs/>
                <w:color w:val="0D1B2E"/>
                <w:sz w:val="20"/>
                <w:szCs w:val="20"/>
              </w:rPr>
              <w:t xml:space="preserve">NOHFC — Northern Ontario Fund</w:t>
            </w:r>
          </w:p>
        </w:tc>
        <w:tc>
          <w:tcPr>
            <w:tcW w:type="dxa" w:w="356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left"/>
            </w:pPr>
            <w:r>
              <w:rPr>
                <w:rFonts w:ascii="Calibri" w:cs="Calibri" w:eastAsia="Calibri" w:hAnsi="Calibri"/>
                <w:color w:val="2A2A2A"/>
                <w:sz w:val="19"/>
                <w:szCs w:val="19"/>
              </w:rPr>
              <w:t xml:space="preserve">Supports economic development in Northern Ontario including mining exploration</w:t>
            </w:r>
          </w:p>
        </w:tc>
        <w:tc>
          <w:tcPr>
            <w:tcW w:type="dxa" w:w="2600"/>
            <w:tcBorders>
              <w:top w:val="single" w:color="B0BDD0" w:sz="4"/>
              <w:left w:val="single" w:color="B0BDD0" w:sz="4"/>
              <w:bottom w:val="single" w:color="B0BDD0" w:sz="4"/>
              <w:right w:val="single" w:color="B0BDD0" w:sz="4"/>
            </w:tcBorders>
            <w:tcMar>
              <w:top w:type="dxa" w:w="110"/>
              <w:left w:type="dxa" w:w="140"/>
              <w:bottom w:type="dxa" w:w="110"/>
              <w:right w:type="dxa" w:w="140"/>
            </w:tcMar>
          </w:tcPr>
          <w:p>
            <w:pPr>
              <w:jc w:val="center"/>
            </w:pPr>
            <w:r>
              <w:rPr>
                <w:rFonts w:ascii="Calibri" w:cs="Calibri" w:eastAsia="Calibri" w:hAnsi="Calibri"/>
                <w:b/>
                <w:bCs/>
                <w:color w:val="2D6A45"/>
                <w:sz w:val="20"/>
                <w:szCs w:val="20"/>
              </w:rPr>
              <w:t xml:space="preserve">Up to CAD 1M (grants/loans)</w:t>
            </w:r>
          </w:p>
        </w:tc>
      </w:tr>
    </w:tbl>
    <w:p>
      <w:pPr>
        <w:spacing w:after="120"/>
      </w:pPr>
    </w:p>
    <w:p>
      <w:pPr>
        <w:spacing w:after="140" w:line="320"/>
        <w:jc w:val="both"/>
      </w:pPr>
      <w:r>
        <w:rPr>
          <w:rFonts w:ascii="Calibri" w:cs="Calibri" w:eastAsia="Calibri" w:hAnsi="Calibri"/>
          <w:color w:val="2A2A2A"/>
          <w:sz w:val="22"/>
          <w:szCs w:val="22"/>
        </w:rPr>
        <w:t xml:space="preserve">Under flow-through share financing at a 45% effective tax credit rate, a CAD 2 million Phase 1 program effectively costs the company approximately CAD 1.1 million in net exploration expenditure — significantly improving the risk-adjusted return on the exploration investment.</w:t>
      </w:r>
    </w:p>
    <w:p>
      <w:pPr>
        <w:spacing w:after="200"/>
      </w:pPr>
    </w:p>
    <w:p>
      <w:pPr>
        <w:pBdr>
          <w:top w:val="single" w:color="1B3A6B" w:sz="8" w:space="6"/>
        </w:pBdr>
        <w:spacing w:after="80" w:before="240"/>
      </w:pPr>
      <w:r>
        <w:rPr>
          <w:rFonts w:ascii="Calibri" w:cs="Calibri" w:eastAsia="Calibri" w:hAnsi="Calibri"/>
          <w:b/>
          <w:bCs/>
          <w:color w:val="4A5E7A"/>
          <w:spacing w:val="60"/>
          <w:sz w:val="18"/>
          <w:szCs w:val="18"/>
        </w:rPr>
        <w:t xml:space="preserve">DISCLAIMER</w:t>
      </w:r>
    </w:p>
    <w:p>
      <w:pPr>
        <w:spacing w:after="80" w:line="280"/>
        <w:jc w:val="both"/>
      </w:pPr>
      <w:r>
        <w:rPr>
          <w:rFonts w:ascii="Calibri" w:cs="Calibri" w:eastAsia="Calibri" w:hAnsi="Calibri"/>
          <w:i/>
          <w:iCs/>
          <w:color w:val="4A5E7A"/>
          <w:sz w:val="18"/>
          <w:szCs w:val="18"/>
        </w:rPr>
        <w:t xml:space="preserve">This analysis is prepared for indicative purposes only and does not constitute an NI 43-101 technical report, PEA, pre-feasibility study, or investment advice. No mineral resource or reserve has been estimated at Nairn. All resource scenarios, financial projections, and return calculations are hypothetical and forward-looking statements subject to material risks. Metal prices, exchange rates, operating costs, and recoveries are assumptions only. Past exploration results at adjacent properties are not necessarily indicative of the results that may be obtained at Nairn. Prospective parties must conduct independent due diligence with qualified technical and financial advisors.</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4A5E7A"/>
        <w:sz w:val="16"/>
        <w:szCs w:val="16"/>
      </w:rPr>
      <w:t xml:space="preserve">Financial Analysis  •  Page </w:t>
    </w:r>
    <w:r>
      <w:rPr>
        <w:rFonts w:ascii="Calibri" w:cs="Calibri" w:eastAsia="Calibri" w:hAnsi="Calibri"/>
        <w:color w:val="4A5E7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4A5E7A"/>
        <w:spacing w:val="40"/>
        <w:sz w:val="16"/>
        <w:szCs w:val="16"/>
      </w:rPr>
      <w:t xml:space="preserve">NAIRN Ni Cu PGE PROJECT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1B3A6B"/>
        <w:sz w:val="16"/>
        <w:szCs w:val="16"/>
      </w:rPr>
    </w:lvl>
  </w:abstractNum>
  <w:abstractNum w:abstractNumId="3" w15:restartNumberingAfterBreak="0">
    <w:multiLevelType w:val="hybridMultilevel"/>
    <w:lvl w:ilvl="0" w15:tentative="1">
      <w:start w:val="1"/>
      <w:numFmt w:val="bullet"/>
      <w:lvlText w:val="•"/>
      <w:lvlJc w:val="left"/>
      <w:pPr>
        <w:ind w:left="720" w:hanging="280"/>
      </w:pPr>
      <w:rPr>
        <w:rFonts w:ascii="Calibri" w:cs="Calibri" w:eastAsia="Calibri" w:hAnsi="Calibri"/>
        <w:color w:val="4A5E7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Nairn — Indicative Financial Analysis</dc:title>
  <dc:creator>Nairn Data Room</dc:creator>
  <cp:lastModifiedBy>Un-named</cp:lastModifiedBy>
  <cp:revision>1</cp:revision>
  <dcterms:created xsi:type="dcterms:W3CDTF">2026-05-15T14:26:56.964Z</dcterms:created>
  <dcterms:modified xsi:type="dcterms:W3CDTF">2026-05-15T14:26:56.965Z</dcterms:modified>
</cp:coreProperties>
</file>

<file path=docProps/custom.xml><?xml version="1.0" encoding="utf-8"?>
<Properties xmlns="http://schemas.openxmlformats.org/officeDocument/2006/custom-properties" xmlns:vt="http://schemas.openxmlformats.org/officeDocument/2006/docPropsVTypes"/>
</file>