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A5E7A"/>
          <w:spacing w:val="60"/>
          <w:sz w:val="17"/>
          <w:szCs w:val="17"/>
        </w:rPr>
        <w:t xml:space="preserve">EXPLORATION HISTORY — DOCUMENT 03.1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0D1B2E"/>
          <w:sz w:val="48"/>
          <w:szCs w:val="48"/>
        </w:rPr>
        <w:t xml:space="preserve">Exploration History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1B3A6B"/>
          <w:sz w:val="26"/>
          <w:szCs w:val="26"/>
        </w:rPr>
        <w:t xml:space="preserve">Nairn Ni Cu PGE Project — Summary of Past Work</w:t>
      </w:r>
    </w:p>
    <w:p>
      <w:pPr>
        <w:pBdr>
          <w:bottom w:val="single" w:color="1B3A6B" w:sz="24" w:space="1"/>
        </w:pBd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Timeline of Work Programs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following table consolidates all known exploration work on the Nairn property from pre-1940 historical workings through to the 2023–2024 field programs. Full GeologyOntario assessment files are listed in the references section.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5760"/>
      </w:tblGrid>
      <w:tr>
        <w:trPr>
          <w:tblHeader/>
        </w:trP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Period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Operator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Work Completed &amp; Key Results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Pre-1940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Unknown / Historic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Berry Shaft developed (two water-filled shafts + ore dump). Barry South Pit developed. Historical pits and trenches including Alanen Showing. Limited channel sampling in trenches. Target commodities: Cu, Ni, Co, PGE. Hosts: gabbro and diabase with pyrrhotite, chalcopyrite, pentlandite, pyrite.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2001–2003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Mustang Minerals Ltd.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Ground magnetics and VLF survey (A. Barry). Grab samples from Berry Shaft muck pile: 5.42% Cu, 1.28% Ni, 0.142% Co, 213 ppb Pt, 254 ppb Pd — among the highest-grade surface results in the area. Trench grabs: 0.99% Cu, 0.64% Ni, 0.083% Co, 27 ppb Pt, 96 ppb Pd. Barry South Pit: 1.59% Cu+Ni, 0.21% Co, 219 ppb PGE. OGS composite at Berry Shaft: 2.92% Cu, 0.41% Ni.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2012–2013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Sino Minerals Corp.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Titan-24 DC-IP survey: 19.2 km across 8 lines (pole-dipole, 100m dipoles) mapping chargeability and resistivity. High chargeability zones identified (e.g., IP8 at 1100S/L400W). Conductivity lows aligned with geological contacts interpreted as mafic dike contacts and NE-trending gabbro sills — priority drill targets defined. Integration with prior 2011 Titan-24 IP data. Concurrent geochemical survey identified mineralised occurrences.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2022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Vale Canada Ltd.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Beep-mat reconnaissance over VTEM anomaly (potentially Worthington Offset related). No conductive/magnetic sources detected at surface. 0.25 km² mapped; focus on metasedimentary and metagabbroic rocks. 26 grab samples (21 assayed for whole-rock + PGE + 33 elements) — no anomalous Ni, Cu, or PGE results; only trace pyrite. No quartz diorite (key SOD indicator) located. Ground EM survey over 600m lines recommended but not executed.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2023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Steven Anderson / Vision Exploration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One field day on claim 548887: located historic N-S trenches (trending E-W) at Alanen Showing. Abundant pyrrhotite and chalcopyrite in diabase confirmed. 4 grab samples collected for Cu, Ni, PGE assays (results not yet detailed in filed report).</w:t>
            </w:r>
          </w:p>
        </w:tc>
      </w:tr>
      <w:tr>
        <w:tc>
          <w:tcPr>
            <w:tcW w:type="dxa" w:w="16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2024</w:t>
            </w:r>
          </w:p>
        </w:tc>
        <w:tc>
          <w:tcPr>
            <w:tcW w:type="dxa" w:w="200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Steven Anderson / Vision Exploration</w:t>
            </w:r>
          </w:p>
        </w:tc>
        <w:tc>
          <w:tcPr>
            <w:tcW w:type="dxa" w:w="5760"/>
            <w:tcBorders>
              <w:top w:val="single" w:color="B0BDD0" w:sz="4"/>
              <w:left w:val="single" w:color="B0BDD0" w:sz="4"/>
              <w:bottom w:val="single" w:color="B0BDD0" w:sz="4"/>
              <w:right w:val="single" w:color="B0BDD0" w:sz="4"/>
            </w:tcBorders>
            <w:shd w:fill="E8ED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A2A"/>
                <w:sz w:val="19"/>
                <w:szCs w:val="19"/>
              </w:rPr>
              <w:t xml:space="preserve">One field day on claim 214048: Berry Shaft and ore dump located. 4 grab samples from gabbro with 50–75% sulphides sent for assay (results not yet detailed). Channel sampling evidence in historical trenches identified but no new channel sampling conducted.</w:t>
            </w:r>
          </w:p>
        </w:tc>
      </w:tr>
    </w:tbl>
    <w:p>
      <w:pPr>
        <w:spacing w:after="240"/>
      </w:pPr>
    </w:p>
    <w:p>
      <w:pPr>
        <w:pStyle w:val="Heading1"/>
        <w:spacing w:after="180" w:before="360"/>
      </w:pPr>
      <w:r>
        <w:rPr>
          <w:rFonts w:ascii="Georgia" w:cs="Georgia" w:eastAsia="Georgia" w:hAnsi="Georgia"/>
          <w:b/>
          <w:bCs/>
          <w:color w:val="0D1B2E"/>
          <w:sz w:val="32"/>
          <w:szCs w:val="32"/>
        </w:rPr>
        <w:t xml:space="preserve">Summary Interpretation</w:t>
      </w:r>
    </w:p>
    <w:p>
      <w:pPr>
        <w:pStyle w:val="Heading2"/>
        <w:pBdr>
          <w:bottom w:val="single" w:color="1B3A6B" w:sz="8" w:space="4"/>
        </w:pBdr>
        <w:spacing w:after="140" w:before="260"/>
      </w:pPr>
      <w:r>
        <w:rPr>
          <w:rFonts w:ascii="Georgia" w:cs="Georgia" w:eastAsia="Georgia" w:hAnsi="Georgia"/>
          <w:b/>
          <w:bCs/>
          <w:color w:val="1B3A6B"/>
          <w:sz w:val="24"/>
          <w:szCs w:val="24"/>
        </w:rPr>
        <w:t xml:space="preserve">What has been established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Multiple Ni-Cu-Co-PGE surface showings confirmed across the property (Berry Shaft, Alanen, Barry South Pit).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High-grade samples (up to 5.56% Ni in adit; 5.42% Cu + PGE from muck) confirm system prospectivity.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Chargeability anomalies from two independent IP programs (2011/2013) coincide with geological contacts — these are the defined drill targets.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A 3.00 m drill intercept at 1.28% Ni confirms the system continues below surface.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Massive sulphide (50–75%) confirmed at Berry Shaft in 2024 surface grab.</w:t>
      </w:r>
    </w:p>
    <w:p>
      <w:pPr>
        <w:pStyle w:val="Heading2"/>
        <w:pBdr>
          <w:bottom w:val="single" w:color="1B3A6B" w:sz="8" w:space="4"/>
        </w:pBdr>
        <w:spacing w:after="140" w:before="260"/>
      </w:pPr>
      <w:r>
        <w:rPr>
          <w:rFonts w:ascii="Georgia" w:cs="Georgia" w:eastAsia="Georgia" w:hAnsi="Georgia"/>
          <w:b/>
          <w:bCs/>
          <w:color w:val="1B3A6B"/>
          <w:sz w:val="24"/>
          <w:szCs w:val="24"/>
        </w:rPr>
        <w:t xml:space="preserve">What has not been done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No systematic modern diamond drill campaign has ever been executed on the Offset Dyke target at depth (300–1,000 m).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No modern channel sampling with QA/QC protocols in the Alanen or Berry Shaft trenches.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VTEM anomaly identified prior to 2022 remains unexplained — its conductor source has not been located.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ground EM survey recommended by Vale in 2022 (600+ line-metres) was never completed.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Systematic soil geochemistry and lithogeochemistry across the full 36 km² block has not been completed.</w:t>
      </w:r>
    </w:p>
    <w:p>
      <w:pPr>
        <w:pStyle w:val="Heading2"/>
        <w:pBdr>
          <w:bottom w:val="single" w:color="1B3A6B" w:sz="8" w:space="4"/>
        </w:pBdr>
        <w:spacing w:after="140" w:before="260"/>
      </w:pPr>
      <w:r>
        <w:rPr>
          <w:rFonts w:ascii="Georgia" w:cs="Georgia" w:eastAsia="Georgia" w:hAnsi="Georgia"/>
          <w:b/>
          <w:bCs/>
          <w:color w:val="1B3A6B"/>
          <w:sz w:val="24"/>
          <w:szCs w:val="24"/>
        </w:rPr>
        <w:t xml:space="preserve">Exploration Risk Assessment</w:t>
      </w:r>
    </w:p>
    <w:p>
      <w:pPr>
        <w:spacing w:after="140" w:line="320"/>
        <w:jc w:val="both"/>
      </w:pPr>
      <w:r>
        <w:rPr>
          <w:rFonts w:ascii="Calibri" w:cs="Calibri" w:eastAsia="Calibri" w:hAnsi="Calibri"/>
          <w:color w:val="2A2A2A"/>
          <w:sz w:val="22"/>
          <w:szCs w:val="22"/>
        </w:rPr>
        <w:t xml:space="preserve">The principal risk at Nairn is geological — the SOD must be present and sufficiently mineralised at depth. The risk-mitigation path is straightforward: modern IP/EM geophysics followed by a focused first-pass drill campaign. The surface evidence is compelling; the question is depth. Given the Sudbury precedent (grades increasing with depth in all comparable SOD systems), the Nairn program represents a well-defined, binary exploration decision with a clear positive outcome if the depth target is confirmed.</w:t>
      </w:r>
    </w:p>
    <w:p>
      <w:pPr>
        <w:spacing w:after="200"/>
      </w:pPr>
    </w:p>
    <w:p>
      <w:pPr>
        <w:pBdr>
          <w:top w:val="single" w:color="1B3A6B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4A5E7A"/>
          <w:spacing w:val="60"/>
          <w:sz w:val="18"/>
          <w:szCs w:val="18"/>
        </w:rPr>
        <w:t xml:space="preserve">ASSESSMENT FILE REFERENCES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4A5E7A"/>
          <w:sz w:val="19"/>
          <w:szCs w:val="19"/>
        </w:rPr>
        <w:t xml:space="preserve">GeologyOntario Assessment Files: IDs 20000022000, 20000022112, 20000021235, 20000008521. All reports available via GeologyOntario online portal (https://www.geologyontario.mndm.gov.on.ca).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A5E7A"/>
        <w:sz w:val="16"/>
        <w:szCs w:val="16"/>
      </w:rPr>
      <w:t xml:space="preserve">Exploration History  •  Page </w:t>
    </w:r>
    <w:r>
      <w:rPr>
        <w:rFonts w:ascii="Calibri" w:cs="Calibri" w:eastAsia="Calibri" w:hAnsi="Calibri"/>
        <w:color w:val="4A5E7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4A5E7A"/>
        <w:spacing w:val="40"/>
        <w:sz w:val="16"/>
        <w:szCs w:val="16"/>
      </w:rPr>
      <w:t xml:space="preserve">NAIRN Ni Cu PGE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◆"/>
      <w:lvlJc w:val="left"/>
      <w:pPr>
        <w:ind w:left="540" w:hanging="280"/>
      </w:pPr>
      <w:rPr>
        <w:rFonts w:ascii="Calibri" w:cs="Calibri" w:eastAsia="Calibri" w:hAnsi="Calibri"/>
        <w:color w:val="1B3A6B"/>
        <w:sz w:val="16"/>
        <w:szCs w:val="1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280"/>
      </w:pPr>
      <w:rPr>
        <w:rFonts w:ascii="Calibri" w:cs="Calibri" w:eastAsia="Calibri" w:hAnsi="Calibri"/>
        <w:color w:val="4A5E7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— Exploration History</dc:title>
  <dc:creator>Nairn Data Room</dc:creator>
  <cp:lastModifiedBy>Un-named</cp:lastModifiedBy>
  <cp:revision>1</cp:revision>
  <dcterms:created xsi:type="dcterms:W3CDTF">2026-05-15T14:24:57.481Z</dcterms:created>
  <dcterms:modified xsi:type="dcterms:W3CDTF">2026-05-15T14:24:57.481Z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