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4A5E7A"/>
          <w:spacing w:val="60"/>
          <w:sz w:val="17"/>
          <w:szCs w:val="17"/>
        </w:rPr>
        <w:t xml:space="preserve">GEOLOGICAL SUMMARY — DOCUMENT 02.1 (UPDATED)  |  DATA ROOM</w:t>
      </w:r>
    </w:p>
    <w:p>
      <w:pPr>
        <w:spacing w:after="20"/>
      </w:pPr>
      <w:r>
        <w:rPr>
          <w:rFonts w:ascii="Georgia" w:cs="Georgia" w:eastAsia="Georgia" w:hAnsi="Georgia"/>
          <w:b/>
          <w:bCs/>
          <w:color w:val="0D1B2E"/>
          <w:sz w:val="48"/>
          <w:szCs w:val="48"/>
        </w:rPr>
        <w:t xml:space="preserve">Geology &amp; Mineralisation</w:t>
      </w:r>
    </w:p>
    <w:p>
      <w:pPr>
        <w:spacing w:after="40"/>
      </w:pPr>
      <w:r>
        <w:rPr>
          <w:rFonts w:ascii="Georgia" w:cs="Georgia" w:eastAsia="Georgia" w:hAnsi="Georgia"/>
          <w:i/>
          <w:iCs/>
          <w:color w:val="1B3A6B"/>
          <w:sz w:val="26"/>
          <w:szCs w:val="26"/>
        </w:rPr>
        <w:t xml:space="preserve">Nairn Ni Cu PGE Project — Sudbury Igneous Complex, SW Footwall</w:t>
      </w:r>
    </w:p>
    <w:p>
      <w:pPr>
        <w:pBdr>
          <w:bottom w:val="single" w:color="1B3A6B" w:sz="24" w:space="1"/>
        </w:pBdr>
        <w:spacing w:after="240"/>
      </w:pPr>
    </w:p>
    <w:p>
      <w:pPr>
        <w:pStyle w:val="Heading1"/>
        <w:spacing w:after="180" w:before="360"/>
      </w:pPr>
      <w:r>
        <w:rPr>
          <w:rFonts w:ascii="Georgia" w:cs="Georgia" w:eastAsia="Georgia" w:hAnsi="Georgia"/>
          <w:b/>
          <w:bCs/>
          <w:color w:val="0D1B2E"/>
          <w:sz w:val="32"/>
          <w:szCs w:val="32"/>
        </w:rPr>
        <w:t xml:space="preserve">Regional Geological Setting</w:t>
      </w:r>
    </w:p>
    <w:p>
      <w:pPr>
        <w:spacing w:after="140" w:line="320"/>
        <w:jc w:val="both"/>
      </w:pPr>
      <w:r>
        <w:rPr>
          <w:rFonts w:ascii="Calibri" w:cs="Calibri" w:eastAsia="Calibri" w:hAnsi="Calibri"/>
          <w:color w:val="2A2A2A"/>
          <w:sz w:val="22"/>
          <w:szCs w:val="22"/>
        </w:rPr>
        <w:t xml:space="preserve">The Sudbury Igneous Complex (SIC) is a ~1.85 Ga impact melt sheet, one of the world's most prolific Ni-Cu-PGE metalliferous districts, accounting for roughly 23% of current global nickel production. The SIC consists of Norite (Lower Zone), Quartz Gabbro (Middle Zone), and Granophyre (Upper Zone), underlain by footwall Sudbury Breccia and overlain by the Whitewater Group metasediments.</w:t>
      </w:r>
    </w:p>
    <w:p>
      <w:pPr>
        <w:spacing w:after="140" w:line="320"/>
        <w:jc w:val="both"/>
      </w:pPr>
      <w:r>
        <w:rPr>
          <w:rFonts w:ascii="Calibri" w:cs="Calibri" w:eastAsia="Calibri" w:hAnsi="Calibri"/>
          <w:color w:val="2A2A2A"/>
          <w:sz w:val="22"/>
          <w:szCs w:val="22"/>
        </w:rPr>
        <w:t xml:space="preserve">Ni-Cu-PGE mineralisation at Sudbury occurs as contact-type deposits along the SIC lower contact and as Offset Dyke deposits (SODs) that radiate outward into the footwall. Offset Dyke-type deposits are the primary target at Nairn.</w:t>
      </w:r>
    </w:p>
    <w:p>
      <w:pPr>
        <w:pStyle w:val="Heading1"/>
        <w:spacing w:after="180" w:before="360"/>
      </w:pPr>
      <w:r>
        <w:rPr>
          <w:rFonts w:ascii="Georgia" w:cs="Georgia" w:eastAsia="Georgia" w:hAnsi="Georgia"/>
          <w:b/>
          <w:bCs/>
          <w:color w:val="0D1B2E"/>
          <w:sz w:val="32"/>
          <w:szCs w:val="32"/>
        </w:rPr>
        <w:t xml:space="preserve">Sudbury Offset Dykes — Deposit Model</w:t>
      </w:r>
    </w:p>
    <w:p>
      <w:pPr>
        <w:spacing w:after="140" w:line="320"/>
        <w:jc w:val="both"/>
      </w:pPr>
      <w:r>
        <w:rPr>
          <w:rFonts w:ascii="Calibri" w:cs="Calibri" w:eastAsia="Calibri" w:hAnsi="Calibri"/>
          <w:color w:val="2A2A2A"/>
          <w:sz w:val="22"/>
          <w:szCs w:val="22"/>
        </w:rPr>
        <w:t xml:space="preserve">SODs are quartz diorite intrusions extending outward from the SIC. Mineralisation within and adjacent to SODs includes: sharp-contact massive sulphide at dyke margins; disseminated to net-textured sulphide in marginal phases; and vein-type sulphide in fractures. Grades increase with depth in all producing SOD systems. The new 8.45% Ni surface sample, with ~17% total sulphur, is diagnostic of massive sulphide — the highest-grade ore type in SOD deposits.</w:t>
      </w:r>
    </w:p>
    <w:p>
      <w:pPr>
        <w:pStyle w:val="Heading1"/>
        <w:spacing w:after="180" w:before="360"/>
      </w:pPr>
      <w:r>
        <w:rPr>
          <w:rFonts w:ascii="Georgia" w:cs="Georgia" w:eastAsia="Georgia" w:hAnsi="Georgia"/>
          <w:b/>
          <w:bCs/>
          <w:color w:val="0D1B2E"/>
          <w:sz w:val="32"/>
          <w:szCs w:val="32"/>
        </w:rPr>
        <w:t xml:space="preserve">Nairn Property Geology</w:t>
      </w:r>
    </w:p>
    <w:p>
      <w:pPr>
        <w:spacing w:after="140" w:line="320"/>
        <w:jc w:val="both"/>
      </w:pPr>
      <w:r>
        <w:rPr>
          <w:rFonts w:ascii="Calibri" w:cs="Calibri" w:eastAsia="Calibri" w:hAnsi="Calibri"/>
          <w:color w:val="2A2A2A"/>
          <w:sz w:val="22"/>
          <w:szCs w:val="22"/>
        </w:rPr>
        <w:t xml:space="preserve">The Nairn property is positioned 5–10 km WSW of the Sudbury Camp's Worthington Dyke and Mystery Dyke — structural corridors hosting Victoria, McIntyre, AER, Worthington, and Totten mine complexes. The property covers a gabbro and diabase-dominated assemblage within the SIC footwall, exhibiting sudburite alteration typical of mineralised SIC contacts.</w:t>
      </w:r>
    </w:p>
    <w:p>
      <w:pPr>
        <w:spacing w:after="140" w:line="320"/>
        <w:jc w:val="both"/>
      </w:pPr>
      <w:r>
        <w:rPr>
          <w:rFonts w:ascii="Calibri" w:cs="Calibri" w:eastAsia="Calibri" w:hAnsi="Calibri"/>
          <w:color w:val="2A2A2A"/>
          <w:sz w:val="22"/>
          <w:szCs w:val="22"/>
        </w:rPr>
        <w:t xml:space="preserve">Key structural features: (1) the Worthington Offset Dyke SW extension, whose surface trace is mapped onto the western claims; and (2) the Mystery Dyke SW extents, known surface outcrop within 2 km of the NE boundary.</w:t>
      </w:r>
    </w:p>
    <w:p>
      <w:pPr>
        <w:pStyle w:val="Heading1"/>
        <w:spacing w:after="180" w:before="360"/>
      </w:pPr>
      <w:r>
        <w:rPr>
          <w:rFonts w:ascii="Georgia" w:cs="Georgia" w:eastAsia="Georgia" w:hAnsi="Georgia"/>
          <w:b/>
          <w:bCs/>
          <w:color w:val="0D1B2E"/>
          <w:sz w:val="32"/>
          <w:szCs w:val="32"/>
        </w:rPr>
        <w:t xml:space="preserve">Mineralisation</w:t>
      </w:r>
    </w:p>
    <w:p>
      <w:pPr>
        <w:spacing w:after="140" w:line="320"/>
        <w:jc w:val="both"/>
      </w:pPr>
      <w:r>
        <w:rPr>
          <w:rFonts w:ascii="Calibri" w:cs="Calibri" w:eastAsia="Calibri" w:hAnsi="Calibri"/>
          <w:color w:val="2A2A2A"/>
          <w:sz w:val="22"/>
          <w:szCs w:val="22"/>
        </w:rPr>
        <w:t xml:space="preserve">Sulphide mineralogy includes pyrrhotite (dominant), chalcopyrite, pentlandite, pyrite, and marcasite. Sulphide textures range from disseminated (5–20%) to massive (50–75% at Berry Shaft, ~17% S in new sample). The confirmation of pentlandite (primary Ni mineral in Sudbury deposits) at multiple locations, plus the now-documented gold credit (2.38 g/t Au in the new sample), substantially enriches the polymetallic value proposition.</w:t>
      </w:r>
    </w:p>
    <w:p>
      <w:pPr>
        <w:pStyle w:val="Heading1"/>
        <w:spacing w:after="180" w:before="360"/>
      </w:pPr>
      <w:r>
        <w:rPr>
          <w:rFonts w:ascii="Georgia" w:cs="Georgia" w:eastAsia="Georgia" w:hAnsi="Georgia"/>
          <w:b/>
          <w:bCs/>
          <w:color w:val="0D1B2E"/>
          <w:sz w:val="32"/>
          <w:szCs w:val="32"/>
        </w:rPr>
        <w:t xml:space="preserve">Sampling and Assay Results — Updated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0BDD0" w:sz="4"/>
              <w:left w:val="single" w:color="B0BDD0" w:sz="4"/>
              <w:bottom w:val="single" w:color="B0BDD0" w:sz="4"/>
              <w:right w:val="single" w:color="B0BDD0" w:sz="4"/>
            </w:tcBorders>
            <w:shd w:fill="1B3A6B" w:val="clear"/>
            <w:tcMar>
              <w:top w:type="dxa" w:w="180"/>
              <w:left w:type="dxa" w:w="240"/>
              <w:bottom w:type="dxa" w:w="180"/>
              <w:right w:type="dxa" w:w="240"/>
            </w:tcMar>
          </w:tcPr>
          <w:p>
            <w:pPr>
              <w:spacing w:after="60"/>
            </w:pPr>
            <w:r>
              <w:rPr>
                <w:rFonts w:ascii="Calibri" w:cs="Calibri" w:eastAsia="Calibri" w:hAnsi="Calibri"/>
                <w:b/>
                <w:bCs/>
                <w:color w:val="C5A028"/>
                <w:spacing w:val="40"/>
                <w:sz w:val="18"/>
                <w:szCs w:val="18"/>
              </w:rPr>
              <w:t xml:space="preserve">★  NEW HEADLINE RESULT — OMITTED FROM PRIOR PRESENTATION</w:t>
            </w:r>
          </w:p>
          <w:p>
            <w:pPr>
              <w:spacing w:after="40"/>
            </w:pPr>
            <w:r>
              <w:rPr>
                <w:rFonts w:ascii="Calibri" w:cs="Calibri" w:eastAsia="Calibri" w:hAnsi="Calibri"/>
                <w:b/>
                <w:bCs/>
                <w:color w:val="FFFFFF"/>
                <w:sz w:val="24"/>
                <w:szCs w:val="24"/>
              </w:rPr>
              <w:t xml:space="preserve">Surface massive sulphide sample: </w:t>
            </w:r>
            <w:r>
              <w:rPr>
                <w:rFonts w:ascii="Georgia" w:cs="Georgia" w:eastAsia="Georgia" w:hAnsi="Georgia"/>
                <w:b/>
                <w:bCs/>
                <w:color w:val="C5A028"/>
                <w:sz w:val="30"/>
                <w:szCs w:val="30"/>
              </w:rPr>
              <w:t xml:space="preserve">8.45% Ni  ·  6.63% Cu  ·  0.45% Co  ·  2.38 g/t Au  +  strong Pd–Pt credits</w:t>
            </w:r>
          </w:p>
          <w:p>
            <w:r>
              <w:rPr>
                <w:rFonts w:ascii="Calibri" w:cs="Calibri" w:eastAsia="Calibri" w:hAnsi="Calibri"/>
                <w:i/>
                <w:iCs/>
                <w:color w:val="CCDDFF"/>
                <w:sz w:val="18"/>
                <w:szCs w:val="18"/>
              </w:rPr>
              <w:t xml:space="preserve">~17% total sulphur confirms massive sulphide (not disseminated). The gold credit (2.38 g/t Au) is a newly identified value driver not present in prior sampling. This is the highest-grade result on the entire property and was inadvertently omitted from the September 2025 presentation.</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300"/>
        <w:gridCol w:w="1050"/>
        <w:gridCol w:w="1050"/>
        <w:gridCol w:w="1000"/>
        <w:gridCol w:w="2860"/>
      </w:tblGrid>
      <w:tr>
        <w:trPr>
          <w:tblHeader/>
        </w:trPr>
        <w:tc>
          <w:tcPr>
            <w:tcW w:type="dxa" w:w="21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8"/>
                <w:szCs w:val="18"/>
              </w:rPr>
              <w:t xml:space="preserve">Location</w:t>
            </w:r>
          </w:p>
        </w:tc>
        <w:tc>
          <w:tcPr>
            <w:tcW w:type="dxa" w:w="13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8"/>
                <w:szCs w:val="18"/>
              </w:rPr>
              <w:t xml:space="preserve">Method</w:t>
            </w:r>
          </w:p>
        </w:tc>
        <w:tc>
          <w:tcPr>
            <w:tcW w:type="dxa" w:w="105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8"/>
                <w:szCs w:val="18"/>
              </w:rPr>
              <w:t xml:space="preserve">Ni (%)</w:t>
            </w:r>
          </w:p>
        </w:tc>
        <w:tc>
          <w:tcPr>
            <w:tcW w:type="dxa" w:w="105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8"/>
                <w:szCs w:val="18"/>
              </w:rPr>
              <w:t xml:space="preserve">Cu (%)</w:t>
            </w:r>
          </w:p>
        </w:tc>
        <w:tc>
          <w:tcPr>
            <w:tcW w:type="dxa" w:w="10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8"/>
                <w:szCs w:val="18"/>
              </w:rPr>
              <w:t xml:space="preserve">Co (%)</w:t>
            </w:r>
          </w:p>
        </w:tc>
        <w:tc>
          <w:tcPr>
            <w:tcW w:type="dxa" w:w="286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8"/>
                <w:szCs w:val="18"/>
              </w:rPr>
              <w:t xml:space="preserve">Notes / PGE</w:t>
            </w:r>
          </w:p>
        </w:tc>
      </w:tr>
      <w:tr>
        <w:tc>
          <w:tcPr>
            <w:tcW w:type="dxa" w:w="21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left"/>
            </w:pPr>
            <w:r>
              <w:rPr>
                <w:rFonts w:ascii="Calibri" w:cs="Calibri" w:eastAsia="Calibri" w:hAnsi="Calibri"/>
                <w:b/>
                <w:bCs/>
                <w:color w:val="C5A028"/>
                <w:sz w:val="20"/>
                <w:szCs w:val="20"/>
              </w:rPr>
              <w:t xml:space="preserve">Surface massive sulphide</w:t>
            </w:r>
          </w:p>
        </w:tc>
        <w:tc>
          <w:tcPr>
            <w:tcW w:type="dxa" w:w="13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left"/>
            </w:pPr>
            <w:r>
              <w:rPr>
                <w:rFonts w:ascii="Calibri" w:cs="Calibri" w:eastAsia="Calibri" w:hAnsi="Calibri"/>
                <w:color w:val="CCDDFF"/>
                <w:sz w:val="18"/>
                <w:szCs w:val="18"/>
              </w:rPr>
              <w:t xml:space="preserve">Grab</w:t>
            </w:r>
          </w:p>
        </w:tc>
        <w:tc>
          <w:tcPr>
            <w:tcW w:type="dxa" w:w="105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C5A028"/>
                <w:sz w:val="20"/>
                <w:szCs w:val="20"/>
              </w:rPr>
              <w:t xml:space="preserve">8.45</w:t>
            </w:r>
          </w:p>
        </w:tc>
        <w:tc>
          <w:tcPr>
            <w:tcW w:type="dxa" w:w="105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C5A028"/>
                <w:sz w:val="20"/>
                <w:szCs w:val="20"/>
              </w:rPr>
              <w:t xml:space="preserve">6.63</w:t>
            </w:r>
          </w:p>
        </w:tc>
        <w:tc>
          <w:tcPr>
            <w:tcW w:type="dxa" w:w="10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color w:val="CCDDFF"/>
                <w:sz w:val="20"/>
                <w:szCs w:val="20"/>
              </w:rPr>
              <w:t xml:space="preserve">0.45</w:t>
            </w:r>
          </w:p>
        </w:tc>
        <w:tc>
          <w:tcPr>
            <w:tcW w:type="dxa" w:w="286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left"/>
            </w:pPr>
            <w:r>
              <w:rPr>
                <w:rFonts w:ascii="Calibri" w:cs="Calibri" w:eastAsia="Calibri" w:hAnsi="Calibri"/>
                <w:color w:val="C5A028"/>
                <w:sz w:val="17"/>
                <w:szCs w:val="17"/>
              </w:rPr>
              <w:t xml:space="preserve">2.38 g/t Au + Pd-Pt, ~17% S ★</w:t>
            </w:r>
          </w:p>
        </w:tc>
      </w:tr>
      <w:tr>
        <w:tc>
          <w:tcPr>
            <w:tcW w:type="dxa" w:w="21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Adit face</w:t>
            </w:r>
          </w:p>
        </w:tc>
        <w:tc>
          <w:tcPr>
            <w:tcW w:type="dxa" w:w="13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8"/>
                <w:szCs w:val="18"/>
              </w:rPr>
              <w:t xml:space="preserve">Face</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5.56</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1.63</w:t>
            </w:r>
          </w:p>
        </w:tc>
        <w:tc>
          <w:tcPr>
            <w:tcW w:type="dxa" w:w="10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color w:val="2A2A2A"/>
                <w:sz w:val="20"/>
                <w:szCs w:val="20"/>
              </w:rPr>
              <w:t xml:space="preserve">0.54</w:t>
            </w:r>
          </w:p>
        </w:tc>
        <w:tc>
          <w:tcPr>
            <w:tcW w:type="dxa" w:w="286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7"/>
                <w:szCs w:val="17"/>
              </w:rPr>
              <w:t xml:space="preserve">—</w:t>
            </w:r>
          </w:p>
        </w:tc>
      </w:tr>
      <w:tr>
        <w:tc>
          <w:tcPr>
            <w:tcW w:type="dxa" w:w="21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Berry Shaft muck</w:t>
            </w:r>
          </w:p>
        </w:tc>
        <w:tc>
          <w:tcPr>
            <w:tcW w:type="dxa" w:w="13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8"/>
                <w:szCs w:val="18"/>
              </w:rPr>
              <w:t xml:space="preserve">Grab (Mustang)</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1.28</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5.42</w:t>
            </w:r>
          </w:p>
        </w:tc>
        <w:tc>
          <w:tcPr>
            <w:tcW w:type="dxa" w:w="10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color w:val="2A2A2A"/>
                <w:sz w:val="20"/>
                <w:szCs w:val="20"/>
              </w:rPr>
              <w:t xml:space="preserve">0.142</w:t>
            </w:r>
          </w:p>
        </w:tc>
        <w:tc>
          <w:tcPr>
            <w:tcW w:type="dxa" w:w="286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7"/>
                <w:szCs w:val="17"/>
              </w:rPr>
              <w:t xml:space="preserve">213 ppb Pt, 254 ppb Pd</w:t>
            </w:r>
          </w:p>
        </w:tc>
      </w:tr>
      <w:tr>
        <w:tc>
          <w:tcPr>
            <w:tcW w:type="dxa" w:w="21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Barry South Pit</w:t>
            </w:r>
          </w:p>
        </w:tc>
        <w:tc>
          <w:tcPr>
            <w:tcW w:type="dxa" w:w="13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8"/>
                <w:szCs w:val="18"/>
              </w:rPr>
              <w:t xml:space="preserve">Grab</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val="false"/>
                <w:bCs w:val="false"/>
                <w:color w:val="2A2A2A"/>
                <w:sz w:val="20"/>
                <w:szCs w:val="20"/>
              </w:rPr>
              <w:t xml:space="preserve">—</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1.59*</w:t>
            </w:r>
          </w:p>
        </w:tc>
        <w:tc>
          <w:tcPr>
            <w:tcW w:type="dxa" w:w="10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color w:val="2A2A2A"/>
                <w:sz w:val="20"/>
                <w:szCs w:val="20"/>
              </w:rPr>
              <w:t xml:space="preserve">0.21</w:t>
            </w:r>
          </w:p>
        </w:tc>
        <w:tc>
          <w:tcPr>
            <w:tcW w:type="dxa" w:w="286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7"/>
                <w:szCs w:val="17"/>
              </w:rPr>
              <w:t xml:space="preserve">219 ppb PGE</w:t>
            </w:r>
          </w:p>
        </w:tc>
      </w:tr>
      <w:tr>
        <w:tc>
          <w:tcPr>
            <w:tcW w:type="dxa" w:w="21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Trench / chip</w:t>
            </w:r>
          </w:p>
        </w:tc>
        <w:tc>
          <w:tcPr>
            <w:tcW w:type="dxa" w:w="13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8"/>
                <w:szCs w:val="18"/>
              </w:rPr>
              <w:t xml:space="preserve">Channel</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1.16</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val="false"/>
                <w:bCs w:val="false"/>
                <w:color w:val="2A2A2A"/>
                <w:sz w:val="20"/>
                <w:szCs w:val="20"/>
              </w:rPr>
              <w:t xml:space="preserve">—</w:t>
            </w:r>
          </w:p>
        </w:tc>
        <w:tc>
          <w:tcPr>
            <w:tcW w:type="dxa" w:w="10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color w:val="2A2A2A"/>
                <w:sz w:val="20"/>
                <w:szCs w:val="20"/>
              </w:rPr>
              <w:t xml:space="preserve">—</w:t>
            </w:r>
          </w:p>
        </w:tc>
        <w:tc>
          <w:tcPr>
            <w:tcW w:type="dxa" w:w="286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7"/>
                <w:szCs w:val="17"/>
              </w:rPr>
              <w:t xml:space="preserve">3.00 m interval</w:t>
            </w:r>
          </w:p>
        </w:tc>
      </w:tr>
      <w:tr>
        <w:tc>
          <w:tcPr>
            <w:tcW w:type="dxa" w:w="21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Drill intercept</w:t>
            </w:r>
          </w:p>
        </w:tc>
        <w:tc>
          <w:tcPr>
            <w:tcW w:type="dxa" w:w="13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8"/>
                <w:szCs w:val="18"/>
              </w:rPr>
              <w:t xml:space="preserve">DDH</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1.28</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val="false"/>
                <w:bCs w:val="false"/>
                <w:color w:val="2A2A2A"/>
                <w:sz w:val="20"/>
                <w:szCs w:val="20"/>
              </w:rPr>
              <w:t xml:space="preserve">—</w:t>
            </w:r>
          </w:p>
        </w:tc>
        <w:tc>
          <w:tcPr>
            <w:tcW w:type="dxa" w:w="10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color w:val="2A2A2A"/>
                <w:sz w:val="20"/>
                <w:szCs w:val="20"/>
              </w:rPr>
              <w:t xml:space="preserve">—</w:t>
            </w:r>
          </w:p>
        </w:tc>
        <w:tc>
          <w:tcPr>
            <w:tcW w:type="dxa" w:w="286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7"/>
                <w:szCs w:val="17"/>
              </w:rPr>
              <w:t xml:space="preserve">3.00 m interval</w:t>
            </w:r>
          </w:p>
        </w:tc>
      </w:tr>
      <w:tr>
        <w:tc>
          <w:tcPr>
            <w:tcW w:type="dxa" w:w="21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Grab — Zone A</w:t>
            </w:r>
          </w:p>
        </w:tc>
        <w:tc>
          <w:tcPr>
            <w:tcW w:type="dxa" w:w="13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8"/>
                <w:szCs w:val="18"/>
              </w:rPr>
              <w:t xml:space="preserve">Grab</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val="false"/>
                <w:bCs w:val="false"/>
                <w:color w:val="2A2A2A"/>
                <w:sz w:val="20"/>
                <w:szCs w:val="20"/>
              </w:rPr>
              <w:t xml:space="preserve">—</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2.49*</w:t>
            </w:r>
          </w:p>
        </w:tc>
        <w:tc>
          <w:tcPr>
            <w:tcW w:type="dxa" w:w="10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color w:val="2A2A2A"/>
                <w:sz w:val="20"/>
                <w:szCs w:val="20"/>
              </w:rPr>
              <w:t xml:space="preserve">0.12</w:t>
            </w:r>
          </w:p>
        </w:tc>
        <w:tc>
          <w:tcPr>
            <w:tcW w:type="dxa" w:w="286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7"/>
                <w:szCs w:val="17"/>
              </w:rPr>
              <w:t xml:space="preserve">271 ppm PGM</w:t>
            </w:r>
          </w:p>
        </w:tc>
      </w:tr>
      <w:tr>
        <w:tc>
          <w:tcPr>
            <w:tcW w:type="dxa" w:w="21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Grab — Zone B</w:t>
            </w:r>
          </w:p>
        </w:tc>
        <w:tc>
          <w:tcPr>
            <w:tcW w:type="dxa" w:w="13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8"/>
                <w:szCs w:val="18"/>
              </w:rPr>
              <w:t xml:space="preserve">Grab</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val="false"/>
                <w:bCs w:val="false"/>
                <w:color w:val="2A2A2A"/>
                <w:sz w:val="20"/>
                <w:szCs w:val="20"/>
              </w:rPr>
              <w:t xml:space="preserve">—</w:t>
            </w:r>
          </w:p>
        </w:tc>
        <w:tc>
          <w:tcPr>
            <w:tcW w:type="dxa" w:w="105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2.95*</w:t>
            </w:r>
          </w:p>
        </w:tc>
        <w:tc>
          <w:tcPr>
            <w:tcW w:type="dxa" w:w="100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center"/>
            </w:pPr>
            <w:r>
              <w:rPr>
                <w:rFonts w:ascii="Calibri" w:cs="Calibri" w:eastAsia="Calibri" w:hAnsi="Calibri"/>
                <w:color w:val="2A2A2A"/>
                <w:sz w:val="20"/>
                <w:szCs w:val="20"/>
              </w:rPr>
              <w:t xml:space="preserve">0.09</w:t>
            </w:r>
          </w:p>
        </w:tc>
        <w:tc>
          <w:tcPr>
            <w:tcW w:type="dxa" w:w="2860"/>
            <w:tcBorders>
              <w:top w:val="single" w:color="B0BDD0" w:sz="4"/>
              <w:left w:val="single" w:color="B0BDD0" w:sz="4"/>
              <w:bottom w:val="single" w:color="B0BDD0" w:sz="4"/>
              <w:right w:val="single" w:color="B0BDD0" w:sz="4"/>
            </w:tcBorders>
            <w:shd w:fill="E8EDF5" w:val="clear"/>
            <w:tcMar>
              <w:top w:type="dxa" w:w="110"/>
              <w:left w:type="dxa" w:w="130"/>
              <w:bottom w:type="dxa" w:w="110"/>
              <w:right w:type="dxa" w:w="130"/>
            </w:tcMar>
          </w:tcPr>
          <w:p>
            <w:pPr>
              <w:jc w:val="left"/>
            </w:pPr>
            <w:r>
              <w:rPr>
                <w:rFonts w:ascii="Calibri" w:cs="Calibri" w:eastAsia="Calibri" w:hAnsi="Calibri"/>
                <w:color w:val="4A5E7A"/>
                <w:sz w:val="17"/>
                <w:szCs w:val="17"/>
              </w:rPr>
              <w:t xml:space="preserve">240 ppm PGE</w:t>
            </w:r>
          </w:p>
        </w:tc>
      </w:tr>
      <w:tr>
        <w:tc>
          <w:tcPr>
            <w:tcW w:type="dxa" w:w="21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b w:val="false"/>
                <w:bCs w:val="false"/>
                <w:color w:val="0D1B2E"/>
                <w:sz w:val="20"/>
                <w:szCs w:val="20"/>
              </w:rPr>
              <w:t xml:space="preserve">Cu-rich zone</w:t>
            </w:r>
          </w:p>
        </w:tc>
        <w:tc>
          <w:tcPr>
            <w:tcW w:type="dxa" w:w="13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8"/>
                <w:szCs w:val="18"/>
              </w:rPr>
              <w:t xml:space="preserve">Grab</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val="false"/>
                <w:bCs w:val="false"/>
                <w:color w:val="2A2A2A"/>
                <w:sz w:val="20"/>
                <w:szCs w:val="20"/>
              </w:rPr>
              <w:t xml:space="preserve">1.00</w:t>
            </w:r>
          </w:p>
        </w:tc>
        <w:tc>
          <w:tcPr>
            <w:tcW w:type="dxa" w:w="105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b/>
                <w:bCs/>
                <w:color w:val="1B3A6B"/>
                <w:sz w:val="20"/>
                <w:szCs w:val="20"/>
              </w:rPr>
              <w:t xml:space="preserve">19.00</w:t>
            </w:r>
          </w:p>
        </w:tc>
        <w:tc>
          <w:tcPr>
            <w:tcW w:type="dxa" w:w="100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center"/>
            </w:pPr>
            <w:r>
              <w:rPr>
                <w:rFonts w:ascii="Calibri" w:cs="Calibri" w:eastAsia="Calibri" w:hAnsi="Calibri"/>
                <w:color w:val="2A2A2A"/>
                <w:sz w:val="20"/>
                <w:szCs w:val="20"/>
              </w:rPr>
              <w:t xml:space="preserve">—</w:t>
            </w:r>
          </w:p>
        </w:tc>
        <w:tc>
          <w:tcPr>
            <w:tcW w:type="dxa" w:w="2860"/>
            <w:tcBorders>
              <w:top w:val="single" w:color="B0BDD0" w:sz="4"/>
              <w:left w:val="single" w:color="B0BDD0" w:sz="4"/>
              <w:bottom w:val="single" w:color="B0BDD0" w:sz="4"/>
              <w:right w:val="single" w:color="B0BDD0" w:sz="4"/>
            </w:tcBorders>
            <w:tcMar>
              <w:top w:type="dxa" w:w="110"/>
              <w:left w:type="dxa" w:w="130"/>
              <w:bottom w:type="dxa" w:w="110"/>
              <w:right w:type="dxa" w:w="130"/>
            </w:tcMar>
          </w:tcPr>
          <w:p>
            <w:pPr>
              <w:jc w:val="left"/>
            </w:pPr>
            <w:r>
              <w:rPr>
                <w:rFonts w:ascii="Calibri" w:cs="Calibri" w:eastAsia="Calibri" w:hAnsi="Calibri"/>
                <w:color w:val="4A5E7A"/>
                <w:sz w:val="17"/>
                <w:szCs w:val="17"/>
              </w:rPr>
              <w:t xml:space="preserve">Massive sulphide zone</w:t>
            </w:r>
          </w:p>
        </w:tc>
      </w:tr>
    </w:tbl>
    <w:p>
      <w:pPr>
        <w:spacing w:after="100"/>
      </w:pPr>
    </w:p>
    <w:p>
      <w:pPr>
        <w:spacing w:after="200"/>
      </w:pPr>
      <w:r>
        <w:rPr>
          <w:rFonts w:ascii="Calibri" w:cs="Calibri" w:eastAsia="Calibri" w:hAnsi="Calibri"/>
          <w:i/>
          <w:iCs/>
          <w:color w:val="4A5E7A"/>
          <w:sz w:val="18"/>
          <w:szCs w:val="18"/>
        </w:rPr>
        <w:t xml:space="preserve">★ The surface massive sulphide sample (8.45% Ni) was collected in 2024 and was omitted from the September 2025 presentation. ~17% S confirms massive sulphide texture. Au (2.38 g/t) is a newly identified value driver. Values marked (*) are combined Cu+Ni%. All assays pre-NI 43-101 QA/QC unless stated.</w:t>
      </w:r>
    </w:p>
    <w:p>
      <w:pPr>
        <w:pStyle w:val="Heading1"/>
        <w:spacing w:after="180" w:before="360"/>
      </w:pPr>
      <w:r>
        <w:rPr>
          <w:rFonts w:ascii="Georgia" w:cs="Georgia" w:eastAsia="Georgia" w:hAnsi="Georgia"/>
          <w:b/>
          <w:bCs/>
          <w:color w:val="0D1B2E"/>
          <w:sz w:val="32"/>
          <w:szCs w:val="32"/>
        </w:rPr>
        <w:t xml:space="preserve">Geophysics</w:t>
      </w:r>
    </w:p>
    <w:p>
      <w:pPr>
        <w:pStyle w:val="ListParagraph"/>
        <w:numPr>
          <w:ilvl w:val="0"/>
          <w:numId w:val="2"/>
        </w:numPr>
        <w:spacing w:after="100" w:line="300"/>
      </w:pPr>
      <w:r>
        <w:rPr>
          <w:rFonts w:ascii="Calibri" w:cs="Calibri" w:eastAsia="Calibri" w:hAnsi="Calibri"/>
          <w:color w:val="2A2A2A"/>
          <w:sz w:val="22"/>
          <w:szCs w:val="22"/>
        </w:rPr>
        <w:t xml:space="preserve">2001–02 — Ground magnetics and VLF. Identified magnetic lows coinciding with mafic intrusions; VLF lineaments interpreted as structural corridors.</w:t>
      </w:r>
    </w:p>
    <w:p>
      <w:pPr>
        <w:pStyle w:val="ListParagraph"/>
        <w:numPr>
          <w:ilvl w:val="0"/>
          <w:numId w:val="2"/>
        </w:numPr>
        <w:spacing w:after="100" w:line="300"/>
      </w:pPr>
      <w:r>
        <w:rPr>
          <w:rFonts w:ascii="Calibri" w:cs="Calibri" w:eastAsia="Calibri" w:hAnsi="Calibri"/>
          <w:color w:val="2A2A2A"/>
          <w:sz w:val="22"/>
          <w:szCs w:val="22"/>
        </w:rPr>
        <w:t xml:space="preserve">2012–13 — Titan-24 DC-IP (19.2 km, 8 lines). High-chargeability zones and conductivity lows aligned with geological contacts. Priority drill targets defined. Never tested.</w:t>
      </w:r>
    </w:p>
    <w:p>
      <w:pPr>
        <w:pStyle w:val="ListParagraph"/>
        <w:numPr>
          <w:ilvl w:val="0"/>
          <w:numId w:val="2"/>
        </w:numPr>
        <w:spacing w:after="100" w:line="300"/>
      </w:pPr>
      <w:r>
        <w:rPr>
          <w:rFonts w:ascii="Calibri" w:cs="Calibri" w:eastAsia="Calibri" w:hAnsi="Calibri"/>
          <w:color w:val="2A2A2A"/>
          <w:sz w:val="22"/>
          <w:szCs w:val="22"/>
        </w:rPr>
        <w:t xml:space="preserve">2022 — VTEM anomaly investigated by Vale. Unexplained. Ground EM follow-up recommended but not completed.</w:t>
      </w:r>
    </w:p>
    <w:p>
      <w:pPr>
        <w:pStyle w:val="Heading1"/>
        <w:spacing w:after="180" w:before="360"/>
      </w:pPr>
      <w:r>
        <w:rPr>
          <w:rFonts w:ascii="Georgia" w:cs="Georgia" w:eastAsia="Georgia" w:hAnsi="Georgia"/>
          <w:b/>
          <w:bCs/>
          <w:color w:val="0D1B2E"/>
          <w:sz w:val="32"/>
          <w:szCs w:val="32"/>
        </w:rPr>
        <w:t xml:space="preserve">Priority Drill Targets</w:t>
      </w:r>
    </w:p>
    <w:p>
      <w:pPr>
        <w:pStyle w:val="Heading2"/>
        <w:pBdr>
          <w:bottom w:val="single" w:color="1B3A6B" w:sz="8" w:space="4"/>
        </w:pBdr>
        <w:spacing w:after="140" w:before="260"/>
      </w:pPr>
      <w:r>
        <w:rPr>
          <w:rFonts w:ascii="Georgia" w:cs="Georgia" w:eastAsia="Georgia" w:hAnsi="Georgia"/>
          <w:b/>
          <w:bCs/>
          <w:color w:val="1B3A6B"/>
          <w:sz w:val="24"/>
          <w:szCs w:val="24"/>
        </w:rPr>
        <w:t xml:space="preserve">Priority 1 — Worthington Offset Dyke SW Extension (Berry Shaft Depth)</w:t>
      </w:r>
    </w:p>
    <w:p>
      <w:pPr>
        <w:spacing w:after="140" w:line="320"/>
        <w:jc w:val="both"/>
      </w:pPr>
      <w:r>
        <w:rPr>
          <w:rFonts w:ascii="Calibri" w:cs="Calibri" w:eastAsia="Calibri" w:hAnsi="Calibri"/>
          <w:color w:val="2A2A2A"/>
          <w:sz w:val="22"/>
          <w:szCs w:val="22"/>
        </w:rPr>
        <w:t xml:space="preserve">Down-dip projection of the Worthington Offset Dyke beneath Berry Shaft. Surface samples (8.45% Ni, 5.56% Ni) confirm the system. Embayment zones hosting economic deposits (Totten, Victoria) are expected at 300–1,000 m depth.</w:t>
      </w:r>
    </w:p>
    <w:p>
      <w:pPr>
        <w:pStyle w:val="Heading2"/>
        <w:pBdr>
          <w:bottom w:val="single" w:color="1B3A6B" w:sz="8" w:space="4"/>
        </w:pBdr>
        <w:spacing w:after="140" w:before="260"/>
      </w:pPr>
      <w:r>
        <w:rPr>
          <w:rFonts w:ascii="Georgia" w:cs="Georgia" w:eastAsia="Georgia" w:hAnsi="Georgia"/>
          <w:b/>
          <w:bCs/>
          <w:color w:val="1B3A6B"/>
          <w:sz w:val="24"/>
          <w:szCs w:val="24"/>
        </w:rPr>
        <w:t xml:space="preserve">Priority 2 — Alanen Showing / Mystery Dyke NE Margin</w:t>
      </w:r>
    </w:p>
    <w:p>
      <w:pPr>
        <w:spacing w:after="140" w:line="320"/>
        <w:jc w:val="both"/>
      </w:pPr>
      <w:r>
        <w:rPr>
          <w:rFonts w:ascii="Calibri" w:cs="Calibri" w:eastAsia="Calibri" w:hAnsi="Calibri"/>
          <w:color w:val="2A2A2A"/>
          <w:sz w:val="22"/>
          <w:szCs w:val="22"/>
        </w:rPr>
        <w:t xml:space="preserve">Historic trenches exposed abundant pyrrhotite-chalcopyrite in diabase. Mystery Dyke within 2 km. IP data shows chargeability anomalies in this sector — never drill-tested.</w:t>
      </w:r>
    </w:p>
    <w:p>
      <w:pPr>
        <w:pStyle w:val="Heading2"/>
        <w:pBdr>
          <w:bottom w:val="single" w:color="1B3A6B" w:sz="8" w:space="4"/>
        </w:pBdr>
        <w:spacing w:after="140" w:before="260"/>
      </w:pPr>
      <w:r>
        <w:rPr>
          <w:rFonts w:ascii="Georgia" w:cs="Georgia" w:eastAsia="Georgia" w:hAnsi="Georgia"/>
          <w:b/>
          <w:bCs/>
          <w:color w:val="1B3A6B"/>
          <w:sz w:val="24"/>
          <w:szCs w:val="24"/>
        </w:rPr>
        <w:t xml:space="preserve">Priority 3 — Barry South Pit and Gold-Copper Zone</w:t>
      </w:r>
    </w:p>
    <w:p>
      <w:pPr>
        <w:spacing w:after="140" w:line="320"/>
        <w:jc w:val="both"/>
      </w:pPr>
      <w:r>
        <w:rPr>
          <w:rFonts w:ascii="Calibri" w:cs="Calibri" w:eastAsia="Calibri" w:hAnsi="Calibri"/>
          <w:color w:val="2A2A2A"/>
          <w:sz w:val="22"/>
          <w:szCs w:val="22"/>
        </w:rPr>
        <w:t xml:space="preserve">New data indicates a gold-enriched copper zone (2.38 g/t Au, 6.63% Cu) coinciding with the massive sulphide horizon. This Au credit substantially increases the economic potential of the near-surface zone and warrants targeted sampling and drilling.</w:t>
      </w:r>
    </w:p>
    <w:p>
      <w:pPr>
        <w:pStyle w:val="Heading2"/>
        <w:pBdr>
          <w:bottom w:val="single" w:color="1B3A6B" w:sz="8" w:space="4"/>
        </w:pBdr>
        <w:spacing w:after="140" w:before="260"/>
      </w:pPr>
      <w:r>
        <w:rPr>
          <w:rFonts w:ascii="Georgia" w:cs="Georgia" w:eastAsia="Georgia" w:hAnsi="Georgia"/>
          <w:b/>
          <w:bCs/>
          <w:color w:val="1B3A6B"/>
          <w:sz w:val="24"/>
          <w:szCs w:val="24"/>
        </w:rPr>
        <w:t xml:space="preserve">Recommended Phase 1 Program</w:t>
      </w:r>
    </w:p>
    <w:p>
      <w:pPr>
        <w:pStyle w:val="ListParagraph"/>
        <w:numPr>
          <w:ilvl w:val="0"/>
          <w:numId w:val="2"/>
        </w:numPr>
        <w:spacing w:after="100" w:line="300"/>
      </w:pPr>
      <w:r>
        <w:rPr>
          <w:rFonts w:ascii="Calibri" w:cs="Calibri" w:eastAsia="Calibri" w:hAnsi="Calibri"/>
          <w:color w:val="2A2A2A"/>
          <w:sz w:val="22"/>
          <w:szCs w:val="22"/>
        </w:rPr>
        <w:t xml:space="preserve">IP geophysics: 2,000–3,000 m of new dipole-dipole lines over Targets 1 and 2.</w:t>
      </w:r>
    </w:p>
    <w:p>
      <w:pPr>
        <w:pStyle w:val="ListParagraph"/>
        <w:numPr>
          <w:ilvl w:val="0"/>
          <w:numId w:val="2"/>
        </w:numPr>
        <w:spacing w:after="100" w:line="300"/>
      </w:pPr>
      <w:r>
        <w:rPr>
          <w:rFonts w:ascii="Calibri" w:cs="Calibri" w:eastAsia="Calibri" w:hAnsi="Calibri"/>
          <w:color w:val="2A2A2A"/>
          <w:sz w:val="22"/>
          <w:szCs w:val="22"/>
        </w:rPr>
        <w:t xml:space="preserve">Ground EM (TDEM) follow-up: 600+ line-metres over the VTEM anomaly.</w:t>
      </w:r>
    </w:p>
    <w:p>
      <w:pPr>
        <w:pStyle w:val="ListParagraph"/>
        <w:numPr>
          <w:ilvl w:val="0"/>
          <w:numId w:val="2"/>
        </w:numPr>
        <w:spacing w:after="100" w:line="300"/>
      </w:pPr>
      <w:r>
        <w:rPr>
          <w:rFonts w:ascii="Calibri" w:cs="Calibri" w:eastAsia="Calibri" w:hAnsi="Calibri"/>
          <w:color w:val="2A2A2A"/>
          <w:sz w:val="22"/>
          <w:szCs w:val="22"/>
        </w:rPr>
        <w:t xml:space="preserve">5–8 diamond drill holes (300–500 m depth) testing all three priority targets.</w:t>
      </w:r>
    </w:p>
    <w:p>
      <w:pPr>
        <w:pStyle w:val="ListParagraph"/>
        <w:numPr>
          <w:ilvl w:val="0"/>
          <w:numId w:val="2"/>
        </w:numPr>
        <w:spacing w:after="100" w:line="300"/>
      </w:pPr>
      <w:r>
        <w:rPr>
          <w:rFonts w:ascii="Calibri" w:cs="Calibri" w:eastAsia="Calibri" w:hAnsi="Calibri"/>
          <w:color w:val="2A2A2A"/>
          <w:sz w:val="22"/>
          <w:szCs w:val="22"/>
        </w:rPr>
        <w:t xml:space="preserve">Full QA/QC sampling of all accessible exposures, including twin-sampling of new 8.45% Ni sample location.</w:t>
      </w:r>
    </w:p>
    <w:p>
      <w:pPr>
        <w:pStyle w:val="ListParagraph"/>
        <w:numPr>
          <w:ilvl w:val="0"/>
          <w:numId w:val="2"/>
        </w:numPr>
        <w:spacing w:after="100" w:line="300"/>
      </w:pPr>
      <w:r>
        <w:rPr>
          <w:rFonts w:ascii="Calibri" w:cs="Calibri" w:eastAsia="Calibri" w:hAnsi="Calibri"/>
          <w:color w:val="2A2A2A"/>
          <w:sz w:val="22"/>
          <w:szCs w:val="22"/>
        </w:rPr>
        <w:t xml:space="preserve">Detailed 1:5,000 geological mapping across the central claim block.</w:t>
      </w:r>
    </w:p>
    <w:p>
      <w:pPr>
        <w:spacing w:after="180"/>
      </w:pPr>
    </w:p>
    <w:p>
      <w:pPr>
        <w:pBdr>
          <w:top w:val="single" w:color="1B3A6B" w:sz="8" w:space="6"/>
        </w:pBdr>
        <w:spacing w:after="80" w:before="240"/>
      </w:pPr>
      <w:r>
        <w:rPr>
          <w:rFonts w:ascii="Calibri" w:cs="Calibri" w:eastAsia="Calibri" w:hAnsi="Calibri"/>
          <w:b/>
          <w:bCs/>
          <w:color w:val="4A5E7A"/>
          <w:spacing w:val="60"/>
          <w:sz w:val="18"/>
          <w:szCs w:val="18"/>
        </w:rPr>
        <w:t xml:space="preserve">KEY REFERENCES</w:t>
      </w:r>
    </w:p>
    <w:p>
      <w:pPr>
        <w:spacing w:after="80" w:line="280"/>
      </w:pPr>
      <w:r>
        <w:rPr>
          <w:rFonts w:ascii="Calibri" w:cs="Calibri" w:eastAsia="Calibri" w:hAnsi="Calibri"/>
          <w:i/>
          <w:iCs/>
          <w:color w:val="4A5E7A"/>
          <w:sz w:val="18"/>
          <w:szCs w:val="18"/>
        </w:rPr>
        <w:t xml:space="preserve">GeologyOntario Assessment Files: IDs 20000022000, 20000022112, 20000021235, 20000008521. Vale Canada Ltd. internal report (2022). Sino Minerals Corp. Titan-24 IP survey report (2013). Mustang Minerals Ltd. sampling report (2002-03). Vision Exploration field report (2024). Updated to include 2024 massive sulphide sample (previously omitted).</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4A5E7A"/>
        <w:sz w:val="16"/>
        <w:szCs w:val="16"/>
      </w:rPr>
      <w:t xml:space="preserve">Geological Summary  •  Page </w:t>
    </w:r>
    <w:r>
      <w:rPr>
        <w:rFonts w:ascii="Calibri" w:cs="Calibri" w:eastAsia="Calibri" w:hAnsi="Calibri"/>
        <w:color w:val="4A5E7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4A5E7A"/>
        <w:spacing w:val="40"/>
        <w:sz w:val="16"/>
        <w:szCs w:val="16"/>
      </w:rPr>
      <w:t xml:space="preserve">NAIRN Ni Cu PGE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1B3A6B"/>
        <w:sz w:val="16"/>
        <w:szCs w:val="16"/>
      </w:rPr>
    </w:lvl>
  </w:abstractNum>
  <w:abstractNum w:abstractNumId="3" w15:restartNumberingAfterBreak="0">
    <w:multiLevelType w:val="hybridMultilevel"/>
    <w:lvl w:ilvl="0" w15:tentative="1">
      <w:start w:val="1"/>
      <w:numFmt w:val="bullet"/>
      <w:lvlText w:val="•"/>
      <w:lvlJc w:val="left"/>
      <w:pPr>
        <w:ind w:left="720" w:hanging="280"/>
      </w:pPr>
      <w:rPr>
        <w:rFonts w:ascii="Calibri" w:cs="Calibri" w:eastAsia="Calibri" w:hAnsi="Calibri"/>
        <w:color w:val="4A5E7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Nairn — Geological Summary (Updated)</dc:title>
  <dc:creator>Nairn Data Room</dc:creator>
  <cp:lastModifiedBy>Un-named</cp:lastModifiedBy>
  <cp:revision>1</cp:revision>
  <dcterms:created xsi:type="dcterms:W3CDTF">2026-05-15T15:11:49.152Z</dcterms:created>
  <dcterms:modified xsi:type="dcterms:W3CDTF">2026-05-15T15:11:49.153Z</dcterms:modified>
</cp:coreProperties>
</file>

<file path=docProps/custom.xml><?xml version="1.0" encoding="utf-8"?>
<Properties xmlns="http://schemas.openxmlformats.org/officeDocument/2006/custom-properties" xmlns:vt="http://schemas.openxmlformats.org/officeDocument/2006/docPropsVTypes"/>
</file>