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/>
      </w:pPr>
      <w:r>
        <w:rPr>
          <w:rFonts w:ascii="Calibri" w:cs="Calibri" w:eastAsia="Calibri" w:hAnsi="Calibri"/>
          <w:b/>
          <w:bCs/>
          <w:color w:val="4A5E7A"/>
          <w:spacing w:val="60"/>
          <w:sz w:val="17"/>
          <w:szCs w:val="17"/>
        </w:rPr>
        <w:t xml:space="preserve">VENDOR DATA SHEET  |  DATA ROOM — DOCUMENT 00.3 (UPDATED)</w:t>
      </w:r>
    </w:p>
    <w:p>
      <w:pPr>
        <w:spacing w:after="16"/>
      </w:pPr>
      <w:r>
        <w:rPr>
          <w:rFonts w:ascii="Georgia" w:cs="Georgia" w:eastAsia="Georgia" w:hAnsi="Georgia"/>
          <w:b/>
          <w:bCs/>
          <w:color w:val="1B3A6B"/>
          <w:spacing w:val="20"/>
          <w:sz w:val="64"/>
          <w:szCs w:val="64"/>
        </w:rPr>
        <w:t xml:space="preserve">NAIRN Ni Cu PGE</w:t>
      </w:r>
    </w:p>
    <w:p>
      <w:pPr>
        <w:spacing w:after="16"/>
      </w:pPr>
      <w:r>
        <w:rPr>
          <w:rFonts w:ascii="Georgia" w:cs="Georgia" w:eastAsia="Georgia" w:hAnsi="Georgia"/>
          <w:i/>
          <w:iCs/>
          <w:color w:val="0D1B2E"/>
          <w:sz w:val="30"/>
          <w:szCs w:val="30"/>
        </w:rPr>
        <w:t xml:space="preserve">The Last Great Undrilled Offset Dyke Target in the Sudbury Basin</w:t>
      </w:r>
    </w:p>
    <w:p>
      <w:pPr>
        <w:spacing w:after="16"/>
      </w:pPr>
      <w:r>
        <w:rPr>
          <w:rFonts w:ascii="Calibri" w:cs="Calibri" w:eastAsia="Calibri" w:hAnsi="Calibri"/>
          <w:color w:val="4A5E7A"/>
          <w:sz w:val="22"/>
          <w:szCs w:val="22"/>
        </w:rPr>
        <w:t xml:space="preserve">148 Claims  /  36 km²  /  Sudbury District, Ontario</w:t>
      </w:r>
      <w:r>
        <w:rPr>
          <w:rFonts w:ascii="Calibri" w:cs="Calibri" w:eastAsia="Calibri" w:hAnsi="Calibri"/>
          <w:color w:val="B0BDD0"/>
          <w:sz w:val="22"/>
          <w:szCs w:val="22"/>
        </w:rPr>
        <w:t xml:space="preserve">   |   </w:t>
      </w:r>
      <w:r>
        <w:rPr>
          <w:rFonts w:ascii="Calibri" w:cs="Calibri" w:eastAsia="Calibri" w:hAnsi="Calibri"/>
          <w:color w:val="4A5E7A"/>
          <w:sz w:val="22"/>
          <w:szCs w:val="22"/>
        </w:rPr>
        <w:t xml:space="preserve">5 Mines &amp; 2 Smelters Within 50 km</w:t>
      </w:r>
    </w:p>
    <w:p>
      <w:pPr>
        <w:pBdr>
          <w:bottom w:val="single" w:color="C5A028" w:sz="28" w:space="1"/>
        </w:pBdr>
        <w:spacing w:after="2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40"/>
                <w:sz w:val="18"/>
                <w:szCs w:val="18"/>
              </w:rPr>
              <w:t xml:space="preserve">★  NEW HEADLINE RESULT — OMITTED FROM PRIOR PRESENTATION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4"/>
                <w:szCs w:val="24"/>
              </w:rPr>
              <w:t xml:space="preserve">Surface massive sulphide sample: </w:t>
            </w:r>
            <w:r>
              <w:rPr>
                <w:rFonts w:ascii="Georgia" w:cs="Georgia" w:eastAsia="Georgia" w:hAnsi="Georgia"/>
                <w:b/>
                <w:bCs/>
                <w:color w:val="C5A028"/>
                <w:sz w:val="30"/>
                <w:szCs w:val="30"/>
              </w:rPr>
              <w:t xml:space="preserve">8.45% Ni  ·  6.63% Cu  ·  0.45% Co  ·  2.38 g/t Au  +  strong Pd–Pt credits</w:t>
            </w:r>
          </w:p>
          <w:p>
            <w:r>
              <w:rPr>
                <w:rFonts w:ascii="Calibri" w:cs="Calibri" w:eastAsia="Calibri" w:hAnsi="Calibri"/>
                <w:i/>
                <w:iCs/>
                <w:color w:val="CCDDFF"/>
                <w:sz w:val="18"/>
                <w:szCs w:val="18"/>
              </w:rPr>
              <w:t xml:space="preserve">~17% total sulphur confirms massive sulphide (not disseminated). The gold credit (2.38 g/t Au) is a newly identified value driver not present in prior sampling. This is the highest-grade result on the entire property and was inadvertently omitted from the September 2025 presentation.</w:t>
            </w:r>
          </w:p>
        </w:tc>
      </w:tr>
    </w:tbl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4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C5A028"/>
                <w:sz w:val="56"/>
                <w:szCs w:val="56"/>
              </w:rPr>
              <w:t xml:space="preserve">23%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CCDDFF"/>
                <w:sz w:val="18"/>
                <w:szCs w:val="18"/>
              </w:rPr>
              <w:t xml:space="preserve">of World Nickel Production
from Sudbury Basin</w:t>
            </w:r>
          </w:p>
        </w:tc>
        <w:tc>
          <w:tcPr>
            <w:tcW w:type="dxa" w:w="23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4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C5A028"/>
                <w:sz w:val="56"/>
                <w:szCs w:val="56"/>
              </w:rPr>
              <w:t xml:space="preserve">8.45%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CCDDFF"/>
                <w:sz w:val="18"/>
                <w:szCs w:val="18"/>
              </w:rPr>
              <w:t xml:space="preserve">Ni — Surface Massive
Sulphide Sample</w:t>
            </w:r>
          </w:p>
        </w:tc>
        <w:tc>
          <w:tcPr>
            <w:tcW w:type="dxa" w:w="23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4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C5A028"/>
                <w:sz w:val="56"/>
                <w:szCs w:val="56"/>
              </w:rPr>
              <w:t xml:space="preserve">25 km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CCDDFF"/>
                <w:sz w:val="18"/>
                <w:szCs w:val="18"/>
              </w:rPr>
              <w:t xml:space="preserve">to Sudbury Smelter
(SW of property)</w:t>
            </w:r>
          </w:p>
        </w:tc>
        <w:tc>
          <w:tcPr>
            <w:tcW w:type="dxa" w:w="23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4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C5A028"/>
                <w:sz w:val="56"/>
                <w:szCs w:val="56"/>
              </w:rPr>
              <w:t xml:space="preserve">0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CCDDFF"/>
                <w:sz w:val="18"/>
                <w:szCs w:val="18"/>
              </w:rPr>
              <w:t xml:space="preserve">Modern Drill Holes
on Offset Dyke Target</w:t>
            </w:r>
          </w:p>
        </w:tc>
      </w:tr>
    </w:tbl>
    <w:p>
      <w:pPr>
        <w:spacing w:after="280"/>
      </w:pPr>
    </w:p>
    <w:p>
      <w:pPr>
        <w:spacing w:after="200" w:before="0"/>
      </w:pPr>
      <w:r>
        <w:rPr>
          <w:rFonts w:ascii="Georgia" w:cs="Georgia" w:eastAsia="Georgia" w:hAnsi="Georgia"/>
          <w:b/>
          <w:bCs/>
          <w:color w:val="0D1B2E"/>
          <w:spacing w:val="40"/>
          <w:sz w:val="26"/>
          <w:szCs w:val="26"/>
        </w:rPr>
        <w:t xml:space="preserve">SIX REASONS TO DRILL NAIRN NOW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"/>
        <w:gridCol w:w="8680"/>
      </w:tblGrid>
      <w:tr>
        <w:tc>
          <w:tcPr>
            <w:tcW w:type="dxa" w:w="6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C5A028"/>
                <w:sz w:val="32"/>
                <w:szCs w:val="32"/>
              </w:rPr>
              <w:t xml:space="preserve">1</w:t>
            </w:r>
          </w:p>
        </w:tc>
        <w:tc>
          <w:tcPr>
            <w:tcW w:type="dxa" w:w="86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40"/>
              <w:left w:type="dxa" w:w="200"/>
              <w:bottom w:type="dxa" w:w="140"/>
              <w:right w:type="dxa" w:w="160"/>
            </w:tcMar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0D1B2E"/>
                <w:sz w:val="24"/>
                <w:szCs w:val="24"/>
              </w:rPr>
              <w:t xml:space="preserve">World's Best Ni Address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3A3A3A"/>
                <w:sz w:val="20"/>
                <w:szCs w:val="20"/>
              </w:rPr>
              <w:t xml:space="preserve">The Sudbury Basin hosts 23% of global nickel production, ~1.7 billion tonnes of Cu-Ni ore, and 4.3 million tonnes of nickel remaining. Every major miner — Vale, Glencore, KGHM — is drilling here right now.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"/>
        <w:gridCol w:w="8680"/>
      </w:tblGrid>
      <w:tr>
        <w:tc>
          <w:tcPr>
            <w:tcW w:type="dxa" w:w="6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C5A028"/>
                <w:sz w:val="32"/>
                <w:szCs w:val="32"/>
              </w:rPr>
              <w:t xml:space="preserve">2</w:t>
            </w:r>
          </w:p>
        </w:tc>
        <w:tc>
          <w:tcPr>
            <w:tcW w:type="dxa" w:w="86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40"/>
              <w:left w:type="dxa" w:w="200"/>
              <w:bottom w:type="dxa" w:w="140"/>
              <w:right w:type="dxa" w:w="160"/>
            </w:tcMar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0D1B2E"/>
                <w:sz w:val="24"/>
                <w:szCs w:val="24"/>
              </w:rPr>
              <w:t xml:space="preserve">Proven Offset Dyke Deposit Type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3A3A3A"/>
                <w:sz w:val="20"/>
                <w:szCs w:val="20"/>
              </w:rPr>
              <w:t xml:space="preserve">Worthington and Mystery Dykes host Victoria (14.5 Mt @ 2.5% Ni), Totten (10.5 Mt @ 1.5% Ni), and a cascade of Mt-scale deposits. Nairn sits directly on the SW extension of this proven system.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"/>
        <w:gridCol w:w="8680"/>
      </w:tblGrid>
      <w:tr>
        <w:tc>
          <w:tcPr>
            <w:tcW w:type="dxa" w:w="6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C5A028"/>
                <w:sz w:val="32"/>
                <w:szCs w:val="32"/>
              </w:rPr>
              <w:t xml:space="preserve">3</w:t>
            </w:r>
          </w:p>
        </w:tc>
        <w:tc>
          <w:tcPr>
            <w:tcW w:type="dxa" w:w="86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40"/>
              <w:left w:type="dxa" w:w="200"/>
              <w:bottom w:type="dxa" w:w="140"/>
              <w:right w:type="dxa" w:w="160"/>
            </w:tcMar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0D1B2E"/>
                <w:sz w:val="24"/>
                <w:szCs w:val="24"/>
              </w:rPr>
              <w:t xml:space="preserve">New: 8.45% Ni Surface Sample (Previously Unpublished)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3A3A3A"/>
                <w:sz w:val="20"/>
                <w:szCs w:val="20"/>
              </w:rPr>
              <w:t xml:space="preserve">A surface massive sulphide sample has returned 8.45% Ni, 6.63% Cu, 0.45% Co, 2.38 g/t Au, and strong Pd-Pt credits — with ~17% total sulphur confirming massive sulphide texture. This result was inadvertently omitted from the prior project presentation. It is the highest-grade result on the property and includes a gold credit not previously documented.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"/>
        <w:gridCol w:w="8680"/>
      </w:tblGrid>
      <w:tr>
        <w:tc>
          <w:tcPr>
            <w:tcW w:type="dxa" w:w="6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C5A028"/>
                <w:sz w:val="32"/>
                <w:szCs w:val="32"/>
              </w:rPr>
              <w:t xml:space="preserve">4</w:t>
            </w:r>
          </w:p>
        </w:tc>
        <w:tc>
          <w:tcPr>
            <w:tcW w:type="dxa" w:w="86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40"/>
              <w:left w:type="dxa" w:w="200"/>
              <w:bottom w:type="dxa" w:w="140"/>
              <w:right w:type="dxa" w:w="160"/>
            </w:tcMar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0D1B2E"/>
                <w:sz w:val="24"/>
                <w:szCs w:val="24"/>
              </w:rPr>
              <w:t xml:space="preserve">Geophysics Says Drill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3A3A3A"/>
                <w:sz w:val="20"/>
                <w:szCs w:val="20"/>
              </w:rPr>
              <w:t xml:space="preserve">Two independent IP/EM surveys (Titan-24 DC-IP, VTEM) identified high-chargeability anomalies and unexplained conductors coinciding with geological contacts. Specific drill targets defined — never tested.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"/>
        <w:gridCol w:w="8680"/>
      </w:tblGrid>
      <w:tr>
        <w:tc>
          <w:tcPr>
            <w:tcW w:type="dxa" w:w="6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C5A028"/>
                <w:sz w:val="32"/>
                <w:szCs w:val="32"/>
              </w:rPr>
              <w:t xml:space="preserve">5</w:t>
            </w:r>
          </w:p>
        </w:tc>
        <w:tc>
          <w:tcPr>
            <w:tcW w:type="dxa" w:w="86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40"/>
              <w:left w:type="dxa" w:w="200"/>
              <w:bottom w:type="dxa" w:w="140"/>
              <w:right w:type="dxa" w:w="160"/>
            </w:tcMar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0D1B2E"/>
                <w:sz w:val="24"/>
                <w:szCs w:val="24"/>
              </w:rPr>
              <w:t xml:space="preserve">Infrastructure Already in Place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3A3A3A"/>
                <w:sz w:val="20"/>
                <w:szCs w:val="20"/>
              </w:rPr>
              <w:t xml:space="preserve">Two smelters within 50 km. Provincial highways. Ontario power grid. Sudbury is a world-class mining city with drillers, geologists, assay labs, and engineers — all within an hour's drive.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"/>
        <w:gridCol w:w="8680"/>
      </w:tblGrid>
      <w:tr>
        <w:tc>
          <w:tcPr>
            <w:tcW w:type="dxa" w:w="6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C5A028"/>
                <w:sz w:val="32"/>
                <w:szCs w:val="32"/>
              </w:rPr>
              <w:t xml:space="preserve">6</w:t>
            </w:r>
          </w:p>
        </w:tc>
        <w:tc>
          <w:tcPr>
            <w:tcW w:type="dxa" w:w="86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40"/>
              <w:left w:type="dxa" w:w="200"/>
              <w:bottom w:type="dxa" w:w="140"/>
              <w:right w:type="dxa" w:w="160"/>
            </w:tcMar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0D1B2E"/>
                <w:sz w:val="24"/>
                <w:szCs w:val="24"/>
              </w:rPr>
              <w:t xml:space="preserve">Critical Minerals + Battery Demand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3A3A3A"/>
                <w:sz w:val="20"/>
                <w:szCs w:val="20"/>
              </w:rPr>
              <w:t xml:space="preserve">Ni, Cu, Co, and PGE are all on Canada's Critical Minerals List. Ni-sulphide deposits command a premium over laterite in EV-battery supply chains. Flow-through financing available at ~45% effective cost reduction.</w:t>
            </w:r>
          </w:p>
        </w:tc>
      </w:tr>
    </w:tbl>
    <w:p>
      <w:pPr>
        <w:spacing w:after="240"/>
      </w:pPr>
    </w:p>
    <w:p>
      <w:pPr>
        <w:pBdr>
          <w:top w:val="single" w:color="C5A028" w:sz="24" w:space="6"/>
        </w:pBdr>
        <w:spacing w:after="140" w:before="2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200"/>
        <w:gridCol w:w="3160"/>
      </w:tblGrid>
      <w:tr>
        <w:tc>
          <w:tcPr>
            <w:tcW w:type="dxa" w:w="62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0D1B2E"/>
                <w:sz w:val="26"/>
                <w:szCs w:val="26"/>
              </w:rPr>
              <w:t xml:space="preserve">Ready to acquire or option Canada's next Sudbury discovery?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4A5E7A"/>
                <w:sz w:val="21"/>
                <w:szCs w:val="21"/>
              </w:rPr>
              <w:t xml:space="preserve">Full data room including updated assay results, geophysical data, financial analysis, comparable transactions, and due diligence checklist available to qualified parties under NDA.</w:t>
            </w:r>
          </w:p>
        </w:tc>
        <w:tc>
          <w:tcPr>
            <w:tcW w:type="dxa" w:w="3160"/>
            <w:tcBorders>
              <w:top w:val="none"/>
              <w:left w:val="none"/>
              <w:bottom w:val="none"/>
              <w:right w:val="none"/>
            </w:tcBorders>
            <w:shd w:fill="1B3A6B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40"/>
                <w:sz w:val="18"/>
                <w:szCs w:val="18"/>
              </w:rPr>
              <w:t xml:space="preserve">CONTACT</w:t>
            </w:r>
          </w:p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Hugo</w:t>
            </w:r>
          </w:p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color w:val="CCDDFF"/>
                <w:sz w:val="18"/>
                <w:szCs w:val="18"/>
              </w:rPr>
              <w:t xml:space="preserve">hugo@kpcapital.com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z w:val="20"/>
                <w:szCs w:val="20"/>
              </w:rPr>
              <w:t xml:space="preserve">778-985-8685</w:t>
            </w:r>
          </w:p>
        </w:tc>
      </w:tr>
    </w:tbl>
    <w:p>
      <w:pPr>
        <w:spacing w:after="80"/>
      </w:pPr>
    </w:p>
    <w:p>
      <w:pPr>
        <w:spacing w:after="0"/>
      </w:pPr>
      <w:r>
        <w:rPr>
          <w:rFonts w:ascii="Calibri" w:cs="Calibri" w:eastAsia="Calibri" w:hAnsi="Calibri"/>
          <w:i/>
          <w:iCs/>
          <w:color w:val="4A5E7A"/>
          <w:sz w:val="16"/>
          <w:szCs w:val="16"/>
        </w:rPr>
        <w:t xml:space="preserve">All historical assays are pre-NI 43-101. Grade data are exploration indicators only. Adjacent mine resources are from public operator disclosures and are for context. The 8.45% Ni sample was collected in 2024; full laboratory certificates to be made available under NDA.</w:t>
      </w:r>
    </w:p>
    <w:sectPr>
      <w:headerReference w:type="default" r:id="rId7"/>
      <w:footerReference w:type="default" r:id="rId8"/>
      <w:pgSz w:w="12240" w:h="15840" w:orient="portrait"/>
      <w:pgMar w:top="1100" w:right="1300" w:bottom="11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4A5E7A"/>
        <w:sz w:val="16"/>
        <w:szCs w:val="16"/>
      </w:rPr>
      <w:t xml:space="preserve">Vendor Data Sheet  •  Page </w:t>
    </w:r>
    <w:r>
      <w:rPr>
        <w:rFonts w:ascii="Calibri" w:cs="Calibri" w:eastAsia="Calibri" w:hAnsi="Calibri"/>
        <w:color w:val="4A5E7A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Calibri" w:cs="Calibri" w:eastAsia="Calibri" w:hAnsi="Calibri"/>
        <w:color w:val="4A5E7A"/>
        <w:spacing w:val="40"/>
        <w:sz w:val="16"/>
        <w:szCs w:val="16"/>
      </w:rPr>
      <w:t xml:space="preserve">NAIRN Ni Cu PGE PROJECT  •  DATA ROOM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Nairn — Vendor Data Sheet</dc:title>
  <dc:creator>Nairn Data Room</dc:creator>
  <cp:lastModifiedBy>Un-named</cp:lastModifiedBy>
  <cp:revision>1</cp:revision>
  <dcterms:created xsi:type="dcterms:W3CDTF">2026-05-15T15:11:48.938Z</dcterms:created>
  <dcterms:modified xsi:type="dcterms:W3CDTF">2026-05-15T15:11:48.938Z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